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B4" w:rsidRPr="007839FB" w:rsidRDefault="00780FC4" w:rsidP="001678D4">
      <w:pPr>
        <w:jc w:val="both"/>
        <w:rPr>
          <w:b/>
          <w:color w:val="42214A"/>
        </w:rPr>
      </w:pPr>
      <w:r>
        <w:rPr>
          <w:b/>
          <w:color w:val="42214A"/>
        </w:rPr>
        <w:t xml:space="preserve">      </w:t>
      </w:r>
    </w:p>
    <w:p w:rsidR="00A41DB4" w:rsidRPr="007E2A05" w:rsidRDefault="00A41DB4" w:rsidP="001678D4">
      <w:pPr>
        <w:jc w:val="both"/>
        <w:rPr>
          <w:b/>
          <w:sz w:val="32"/>
          <w:szCs w:val="32"/>
        </w:rPr>
      </w:pPr>
      <w:r w:rsidRPr="007E2A05">
        <w:rPr>
          <w:b/>
          <w:sz w:val="32"/>
          <w:szCs w:val="32"/>
        </w:rPr>
        <w:t>JOB DESCRIPTION</w:t>
      </w:r>
    </w:p>
    <w:p w:rsidR="00A93ECB" w:rsidRPr="00EB5651" w:rsidRDefault="00A93ECB" w:rsidP="001678D4">
      <w:pPr>
        <w:jc w:val="both"/>
        <w:rPr>
          <w:b/>
          <w:sz w:val="20"/>
          <w:szCs w:val="20"/>
        </w:rPr>
      </w:pPr>
    </w:p>
    <w:tbl>
      <w:tblPr>
        <w:tblW w:w="10734" w:type="dxa"/>
        <w:tblInd w:w="-34" w:type="dxa"/>
        <w:shd w:val="clear" w:color="auto" w:fill="42214A"/>
        <w:tblLook w:val="04A0" w:firstRow="1" w:lastRow="0" w:firstColumn="1" w:lastColumn="0" w:noHBand="0" w:noVBand="1"/>
      </w:tblPr>
      <w:tblGrid>
        <w:gridCol w:w="3209"/>
        <w:gridCol w:w="7525"/>
      </w:tblGrid>
      <w:tr w:rsidR="003573F3" w:rsidRPr="003573F3" w:rsidTr="00F502B9">
        <w:trPr>
          <w:trHeight w:val="515"/>
        </w:trPr>
        <w:tc>
          <w:tcPr>
            <w:tcW w:w="3209" w:type="dxa"/>
            <w:shd w:val="clear" w:color="auto" w:fill="42214A"/>
          </w:tcPr>
          <w:p w:rsidR="007839FB" w:rsidRPr="00E6743D" w:rsidRDefault="008C270A" w:rsidP="001678D4">
            <w:pPr>
              <w:spacing w:before="120"/>
              <w:jc w:val="both"/>
              <w:rPr>
                <w:b/>
                <w:color w:val="EBE5CC"/>
              </w:rPr>
            </w:pPr>
            <w:r w:rsidRPr="00E6743D">
              <w:rPr>
                <w:b/>
                <w:color w:val="EBE5CC"/>
              </w:rPr>
              <w:t>Job Title</w:t>
            </w:r>
            <w:r w:rsidR="003573F3">
              <w:rPr>
                <w:b/>
                <w:color w:val="EBE5CC"/>
              </w:rPr>
              <w:t>:</w:t>
            </w:r>
          </w:p>
        </w:tc>
        <w:tc>
          <w:tcPr>
            <w:tcW w:w="7525" w:type="dxa"/>
            <w:shd w:val="clear" w:color="auto" w:fill="42214A"/>
          </w:tcPr>
          <w:p w:rsidR="007839FB" w:rsidRPr="003573F3" w:rsidRDefault="00E33CD6" w:rsidP="001678D4">
            <w:pPr>
              <w:spacing w:before="120" w:after="120"/>
              <w:jc w:val="both"/>
              <w:rPr>
                <w:b/>
                <w:color w:val="FFFFFF" w:themeColor="background1"/>
              </w:rPr>
            </w:pPr>
            <w:r>
              <w:rPr>
                <w:b/>
                <w:color w:val="FFFFFF" w:themeColor="background1"/>
              </w:rPr>
              <w:t xml:space="preserve">Property </w:t>
            </w:r>
            <w:r w:rsidR="006B46E8">
              <w:rPr>
                <w:b/>
                <w:color w:val="FFFFFF" w:themeColor="background1"/>
              </w:rPr>
              <w:t>Project Sponsor</w:t>
            </w:r>
          </w:p>
        </w:tc>
      </w:tr>
      <w:tr w:rsidR="003573F3" w:rsidRPr="003573F3" w:rsidTr="00F502B9">
        <w:trPr>
          <w:trHeight w:val="530"/>
        </w:trPr>
        <w:tc>
          <w:tcPr>
            <w:tcW w:w="3209" w:type="dxa"/>
            <w:shd w:val="clear" w:color="auto" w:fill="42214A"/>
          </w:tcPr>
          <w:p w:rsidR="007839FB" w:rsidRPr="00E6743D" w:rsidRDefault="008C270A" w:rsidP="001678D4">
            <w:pPr>
              <w:spacing w:before="120"/>
              <w:jc w:val="both"/>
              <w:rPr>
                <w:b/>
                <w:color w:val="EBE5CC"/>
              </w:rPr>
            </w:pPr>
            <w:r w:rsidRPr="00E6743D">
              <w:rPr>
                <w:b/>
                <w:color w:val="EBE5CC"/>
              </w:rPr>
              <w:t>Department</w:t>
            </w:r>
            <w:r w:rsidR="003573F3">
              <w:rPr>
                <w:b/>
                <w:color w:val="EBE5CC"/>
              </w:rPr>
              <w:t>:</w:t>
            </w:r>
          </w:p>
        </w:tc>
        <w:tc>
          <w:tcPr>
            <w:tcW w:w="7525" w:type="dxa"/>
            <w:shd w:val="clear" w:color="auto" w:fill="42214A"/>
          </w:tcPr>
          <w:p w:rsidR="007839FB" w:rsidRPr="003573F3" w:rsidRDefault="006B46E8" w:rsidP="001678D4">
            <w:pPr>
              <w:spacing w:before="120" w:after="120"/>
              <w:jc w:val="both"/>
              <w:rPr>
                <w:b/>
                <w:color w:val="FFFFFF" w:themeColor="background1"/>
              </w:rPr>
            </w:pPr>
            <w:r>
              <w:rPr>
                <w:b/>
                <w:color w:val="FFFFFF" w:themeColor="background1"/>
              </w:rPr>
              <w:t>Privy Purse and Treasurer's Office</w:t>
            </w:r>
          </w:p>
        </w:tc>
      </w:tr>
      <w:tr w:rsidR="003573F3" w:rsidRPr="003573F3" w:rsidTr="00F502B9">
        <w:trPr>
          <w:trHeight w:val="515"/>
        </w:trPr>
        <w:tc>
          <w:tcPr>
            <w:tcW w:w="3209" w:type="dxa"/>
            <w:shd w:val="clear" w:color="auto" w:fill="42214A"/>
          </w:tcPr>
          <w:p w:rsidR="007839FB" w:rsidRPr="00E6743D" w:rsidRDefault="008C270A" w:rsidP="001678D4">
            <w:pPr>
              <w:spacing w:before="120"/>
              <w:jc w:val="both"/>
              <w:rPr>
                <w:b/>
                <w:color w:val="EBE5CC"/>
              </w:rPr>
            </w:pPr>
            <w:r w:rsidRPr="00E6743D">
              <w:rPr>
                <w:b/>
                <w:color w:val="EBE5CC"/>
              </w:rPr>
              <w:t>Section/Branch</w:t>
            </w:r>
            <w:r w:rsidR="003573F3">
              <w:rPr>
                <w:b/>
                <w:color w:val="EBE5CC"/>
              </w:rPr>
              <w:t>:</w:t>
            </w:r>
          </w:p>
        </w:tc>
        <w:tc>
          <w:tcPr>
            <w:tcW w:w="7525" w:type="dxa"/>
            <w:shd w:val="clear" w:color="auto" w:fill="42214A"/>
          </w:tcPr>
          <w:p w:rsidR="007839FB" w:rsidRPr="003573F3" w:rsidRDefault="006B46E8" w:rsidP="001678D4">
            <w:pPr>
              <w:spacing w:before="120" w:after="120"/>
              <w:jc w:val="both"/>
              <w:rPr>
                <w:b/>
                <w:color w:val="FFFFFF" w:themeColor="background1"/>
              </w:rPr>
            </w:pPr>
            <w:r>
              <w:rPr>
                <w:b/>
                <w:color w:val="FFFFFF" w:themeColor="background1"/>
              </w:rPr>
              <w:t xml:space="preserve">Property </w:t>
            </w:r>
            <w:r w:rsidR="000147FD">
              <w:rPr>
                <w:b/>
                <w:color w:val="FFFFFF" w:themeColor="background1"/>
              </w:rPr>
              <w:t>Section</w:t>
            </w:r>
          </w:p>
        </w:tc>
      </w:tr>
      <w:tr w:rsidR="006B46E8" w:rsidRPr="003573F3" w:rsidTr="00F502B9">
        <w:trPr>
          <w:trHeight w:val="530"/>
        </w:trPr>
        <w:tc>
          <w:tcPr>
            <w:tcW w:w="3209" w:type="dxa"/>
            <w:shd w:val="clear" w:color="auto" w:fill="42214A"/>
          </w:tcPr>
          <w:p w:rsidR="006B46E8" w:rsidRPr="00E6743D" w:rsidRDefault="006B46E8" w:rsidP="001678D4">
            <w:pPr>
              <w:spacing w:before="120"/>
              <w:jc w:val="both"/>
              <w:rPr>
                <w:b/>
                <w:color w:val="EBE5CC"/>
              </w:rPr>
            </w:pPr>
            <w:r w:rsidRPr="00E6743D">
              <w:rPr>
                <w:b/>
                <w:color w:val="EBE5CC"/>
              </w:rPr>
              <w:t>Location</w:t>
            </w:r>
            <w:r>
              <w:rPr>
                <w:b/>
                <w:color w:val="EBE5CC"/>
              </w:rPr>
              <w:t>:</w:t>
            </w:r>
          </w:p>
        </w:tc>
        <w:tc>
          <w:tcPr>
            <w:tcW w:w="7525" w:type="dxa"/>
            <w:shd w:val="clear" w:color="auto" w:fill="42214A"/>
          </w:tcPr>
          <w:p w:rsidR="006B46E8" w:rsidRPr="003573F3" w:rsidRDefault="006B46E8" w:rsidP="001678D4">
            <w:pPr>
              <w:spacing w:before="120" w:after="120"/>
              <w:jc w:val="both"/>
              <w:rPr>
                <w:b/>
                <w:color w:val="FFFFFF" w:themeColor="background1"/>
              </w:rPr>
            </w:pPr>
            <w:r>
              <w:rPr>
                <w:b/>
                <w:color w:val="FFFFFF" w:themeColor="background1"/>
              </w:rPr>
              <w:t>Buckingham Palace and Windsor Castle</w:t>
            </w:r>
          </w:p>
        </w:tc>
      </w:tr>
      <w:tr w:rsidR="006B46E8" w:rsidRPr="003573F3" w:rsidTr="00F502B9">
        <w:trPr>
          <w:trHeight w:val="515"/>
        </w:trPr>
        <w:tc>
          <w:tcPr>
            <w:tcW w:w="3209" w:type="dxa"/>
            <w:shd w:val="clear" w:color="auto" w:fill="42214A"/>
          </w:tcPr>
          <w:p w:rsidR="006B46E8" w:rsidRPr="00E6743D" w:rsidRDefault="006B46E8" w:rsidP="001678D4">
            <w:pPr>
              <w:spacing w:before="120"/>
              <w:jc w:val="both"/>
              <w:rPr>
                <w:b/>
                <w:color w:val="EBE5CC"/>
              </w:rPr>
            </w:pPr>
            <w:r w:rsidRPr="00E6743D">
              <w:rPr>
                <w:b/>
                <w:color w:val="EBE5CC"/>
              </w:rPr>
              <w:t>Reporting to</w:t>
            </w:r>
            <w:r>
              <w:rPr>
                <w:b/>
                <w:color w:val="EBE5CC"/>
              </w:rPr>
              <w:t>:</w:t>
            </w:r>
          </w:p>
        </w:tc>
        <w:tc>
          <w:tcPr>
            <w:tcW w:w="7525" w:type="dxa"/>
            <w:shd w:val="clear" w:color="auto" w:fill="42214A"/>
          </w:tcPr>
          <w:p w:rsidR="006B46E8" w:rsidRPr="003573F3" w:rsidRDefault="006B46E8" w:rsidP="001678D4">
            <w:pPr>
              <w:spacing w:before="120" w:after="120"/>
              <w:jc w:val="both"/>
              <w:rPr>
                <w:b/>
                <w:color w:val="FFFFFF" w:themeColor="background1"/>
              </w:rPr>
            </w:pPr>
            <w:r>
              <w:rPr>
                <w:b/>
                <w:color w:val="FFFFFF" w:themeColor="background1"/>
              </w:rPr>
              <w:t xml:space="preserve">Head of Projects </w:t>
            </w:r>
          </w:p>
        </w:tc>
      </w:tr>
    </w:tbl>
    <w:p w:rsidR="007839FB" w:rsidRDefault="007839FB" w:rsidP="001678D4">
      <w:pPr>
        <w:jc w:val="both"/>
        <w:rPr>
          <w:b/>
          <w:color w:val="42214A"/>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2214A"/>
        <w:tblLook w:val="01E0" w:firstRow="1" w:lastRow="1" w:firstColumn="1" w:lastColumn="1" w:noHBand="0" w:noVBand="0"/>
      </w:tblPr>
      <w:tblGrid>
        <w:gridCol w:w="10682"/>
      </w:tblGrid>
      <w:tr w:rsidR="00E6743D" w:rsidRPr="00E6743D" w:rsidTr="00F502B9">
        <w:trPr>
          <w:trHeight w:val="494"/>
        </w:trPr>
        <w:tc>
          <w:tcPr>
            <w:tcW w:w="10682" w:type="dxa"/>
            <w:shd w:val="clear" w:color="auto" w:fill="42214A"/>
          </w:tcPr>
          <w:p w:rsidR="00A41DB4" w:rsidRPr="00E6743D" w:rsidRDefault="00A41DB4" w:rsidP="001678D4">
            <w:pPr>
              <w:spacing w:before="80"/>
              <w:jc w:val="both"/>
              <w:rPr>
                <w:b/>
                <w:color w:val="EBE5CC"/>
                <w:sz w:val="28"/>
                <w:szCs w:val="28"/>
              </w:rPr>
            </w:pPr>
            <w:r w:rsidRPr="00E6743D">
              <w:rPr>
                <w:b/>
                <w:color w:val="EBE5CC"/>
                <w:sz w:val="28"/>
                <w:szCs w:val="28"/>
              </w:rPr>
              <w:t>Job Context</w:t>
            </w:r>
          </w:p>
        </w:tc>
      </w:tr>
    </w:tbl>
    <w:p w:rsidR="00A41DB4" w:rsidRPr="007839FB" w:rsidRDefault="00A41DB4" w:rsidP="001678D4">
      <w:pPr>
        <w:jc w:val="both"/>
        <w:rPr>
          <w:b/>
        </w:rPr>
      </w:pPr>
    </w:p>
    <w:p w:rsidR="00E33CD6" w:rsidRDefault="00E33CD6" w:rsidP="001678D4">
      <w:pPr>
        <w:jc w:val="both"/>
      </w:pPr>
      <w:r>
        <w:t>The Property Section is responsible for managing the fabric and services of all buildings within the Royal Household and is comprised of a team of highly skilled property professionals who are responsible for the maintenance of The Queen’s official residences and for other properties within the Occupied Royal Palaces (the Estate). The section prides itself on the achievement of exceptional standards and strives to be a centre of excellence offering advice on the upkeep of historic buildings.</w:t>
      </w:r>
    </w:p>
    <w:p w:rsidR="00E33CD6" w:rsidRDefault="00E33CD6" w:rsidP="001678D4">
      <w:pPr>
        <w:jc w:val="both"/>
      </w:pPr>
    </w:p>
    <w:p w:rsidR="00E33CD6" w:rsidRDefault="00E33CD6" w:rsidP="001678D4">
      <w:pPr>
        <w:jc w:val="both"/>
      </w:pPr>
      <w:r>
        <w:t xml:space="preserve">The majority of buildings are Scheduled Ancient Monuments or listed, many are Grade 1.  The Estate contains apartments occupied by members of the Royal Family, residential buildings, office space, workshops, stables, garages and stores. </w:t>
      </w:r>
    </w:p>
    <w:p w:rsidR="00E33CD6" w:rsidRDefault="00E33CD6" w:rsidP="001678D4">
      <w:pPr>
        <w:jc w:val="both"/>
      </w:pPr>
    </w:p>
    <w:p w:rsidR="00E33CD6" w:rsidRDefault="00E33CD6" w:rsidP="001678D4">
      <w:pPr>
        <w:jc w:val="both"/>
      </w:pPr>
      <w:r>
        <w:t xml:space="preserve">The Property Section is divided into a projects team and two operational teams, one in London and one in Windsor.  The projects team manages the large and complex projects from an annual works programme, three year and ten year plan, from inception to completion and handover to the operational team.  Although members of the project team may be based in one office, they will need to travel between sites according to their specialist skills and the priorities in the works programme.  </w:t>
      </w:r>
    </w:p>
    <w:p w:rsidR="00A41DB4" w:rsidRPr="007839FB" w:rsidRDefault="006B46E8" w:rsidP="001678D4">
      <w:pPr>
        <w:jc w:val="both"/>
        <w:rPr>
          <w:b/>
        </w:rPr>
      </w:pPr>
      <w:r>
        <w:rPr>
          <w:b/>
        </w:rPr>
        <w:t xml:space="preserve"> </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2214A"/>
        <w:tblLook w:val="01E0" w:firstRow="1" w:lastRow="1" w:firstColumn="1" w:lastColumn="1" w:noHBand="0" w:noVBand="0"/>
      </w:tblPr>
      <w:tblGrid>
        <w:gridCol w:w="10552"/>
      </w:tblGrid>
      <w:tr w:rsidR="00E6743D" w:rsidRPr="00E6743D" w:rsidTr="00F502B9">
        <w:trPr>
          <w:trHeight w:val="514"/>
        </w:trPr>
        <w:tc>
          <w:tcPr>
            <w:tcW w:w="10552" w:type="dxa"/>
            <w:shd w:val="clear" w:color="auto" w:fill="42214A"/>
          </w:tcPr>
          <w:p w:rsidR="00A41DB4" w:rsidRPr="00E6743D" w:rsidRDefault="00A41DB4" w:rsidP="001678D4">
            <w:pPr>
              <w:spacing w:before="80"/>
              <w:jc w:val="both"/>
              <w:rPr>
                <w:b/>
                <w:color w:val="EBE5CC"/>
                <w:sz w:val="28"/>
                <w:szCs w:val="28"/>
              </w:rPr>
            </w:pPr>
            <w:r w:rsidRPr="00E6743D">
              <w:rPr>
                <w:b/>
                <w:color w:val="EBE5CC"/>
                <w:sz w:val="28"/>
                <w:szCs w:val="28"/>
              </w:rPr>
              <w:t>Organisational Chart</w:t>
            </w:r>
            <w:r w:rsidR="000147FD">
              <w:rPr>
                <w:b/>
                <w:color w:val="EBE5CC"/>
                <w:sz w:val="28"/>
                <w:szCs w:val="28"/>
              </w:rPr>
              <w:t xml:space="preserve"> </w:t>
            </w:r>
          </w:p>
        </w:tc>
      </w:tr>
    </w:tbl>
    <w:p w:rsidR="00A41DB4" w:rsidRDefault="00A41DB4" w:rsidP="001678D4">
      <w:pPr>
        <w:jc w:val="both"/>
        <w:rPr>
          <w:b/>
        </w:rPr>
      </w:pPr>
    </w:p>
    <w:p w:rsidR="00F502B9" w:rsidRDefault="003545D9" w:rsidP="001678D4">
      <w:pPr>
        <w:ind w:left="360"/>
        <w:jc w:val="both"/>
      </w:pPr>
      <w:r w:rsidRPr="00E6743D">
        <w:rPr>
          <w:noProof/>
          <w:color w:val="EBE5CC"/>
        </w:rPr>
        <w:drawing>
          <wp:inline distT="0" distB="0" distL="0" distR="0" wp14:anchorId="131AA402" wp14:editId="0012AF55">
            <wp:extent cx="4859079" cy="27432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2214A"/>
        <w:tblLook w:val="01E0" w:firstRow="1" w:lastRow="1" w:firstColumn="1" w:lastColumn="1" w:noHBand="0" w:noVBand="0"/>
      </w:tblPr>
      <w:tblGrid>
        <w:gridCol w:w="10531"/>
      </w:tblGrid>
      <w:tr w:rsidR="000147FD" w:rsidRPr="007839FB" w:rsidTr="00B91BAB">
        <w:trPr>
          <w:trHeight w:val="451"/>
        </w:trPr>
        <w:tc>
          <w:tcPr>
            <w:tcW w:w="10531" w:type="dxa"/>
            <w:shd w:val="clear" w:color="auto" w:fill="42214A"/>
          </w:tcPr>
          <w:p w:rsidR="000147FD" w:rsidRPr="007839FB" w:rsidRDefault="000147FD" w:rsidP="001678D4">
            <w:pPr>
              <w:spacing w:before="80"/>
              <w:jc w:val="both"/>
              <w:rPr>
                <w:b/>
                <w:color w:val="FFFFFF"/>
                <w:sz w:val="28"/>
                <w:szCs w:val="28"/>
              </w:rPr>
            </w:pPr>
            <w:r w:rsidRPr="00E6743D">
              <w:rPr>
                <w:b/>
                <w:color w:val="EBE5CC"/>
                <w:sz w:val="28"/>
                <w:szCs w:val="28"/>
              </w:rPr>
              <w:lastRenderedPageBreak/>
              <w:t>Job Purpose</w:t>
            </w:r>
          </w:p>
        </w:tc>
      </w:tr>
    </w:tbl>
    <w:p w:rsidR="000147FD" w:rsidRDefault="000147FD" w:rsidP="001678D4">
      <w:pPr>
        <w:jc w:val="both"/>
        <w:rPr>
          <w:b/>
          <w:color w:val="993366"/>
        </w:rPr>
      </w:pPr>
    </w:p>
    <w:p w:rsidR="00E33CD6" w:rsidRPr="00E33CD6" w:rsidRDefault="00E33CD6" w:rsidP="001678D4">
      <w:pPr>
        <w:jc w:val="both"/>
        <w:rPr>
          <w:rFonts w:cs="Arial"/>
        </w:rPr>
      </w:pPr>
      <w:r w:rsidRPr="00E33CD6">
        <w:rPr>
          <w:rFonts w:cs="Arial"/>
        </w:rPr>
        <w:t xml:space="preserve">The Project Sponsor will </w:t>
      </w:r>
      <w:r>
        <w:rPr>
          <w:rFonts w:cs="Arial"/>
        </w:rPr>
        <w:t xml:space="preserve">have </w:t>
      </w:r>
      <w:r w:rsidRPr="00E33CD6">
        <w:rPr>
          <w:rFonts w:cs="Arial"/>
        </w:rPr>
        <w:t>overall accountability for a portfolio of projects</w:t>
      </w:r>
      <w:r>
        <w:rPr>
          <w:rFonts w:cs="Arial"/>
        </w:rPr>
        <w:t xml:space="preserve"> delivered by multi-disciplined external consultant and third party teams</w:t>
      </w:r>
      <w:r w:rsidRPr="00E33CD6">
        <w:rPr>
          <w:rFonts w:cs="Arial"/>
        </w:rPr>
        <w:t>. The Project Sponsor is primarily concerned with ensuring that projects are delivered in</w:t>
      </w:r>
      <w:r>
        <w:rPr>
          <w:rFonts w:cs="Arial"/>
        </w:rPr>
        <w:t xml:space="preserve"> l</w:t>
      </w:r>
      <w:r w:rsidRPr="00E33CD6">
        <w:rPr>
          <w:rFonts w:cs="Arial"/>
        </w:rPr>
        <w:t xml:space="preserve">ine with the Property Section's business objectives and role as custodian of these historic buildings. The projects will be predominantly driven by other departments, </w:t>
      </w:r>
      <w:proofErr w:type="gramStart"/>
      <w:r w:rsidRPr="00E33CD6">
        <w:rPr>
          <w:rFonts w:cs="Arial"/>
        </w:rPr>
        <w:t>who's</w:t>
      </w:r>
      <w:proofErr w:type="gramEnd"/>
      <w:r w:rsidRPr="00E33CD6">
        <w:rPr>
          <w:rFonts w:cs="Arial"/>
        </w:rPr>
        <w:t xml:space="preserve"> aspirations require interventions and alterations to the buildings. </w:t>
      </w:r>
    </w:p>
    <w:p w:rsidR="00E33CD6" w:rsidRPr="00E33CD6" w:rsidRDefault="00E33CD6" w:rsidP="001678D4">
      <w:pPr>
        <w:jc w:val="both"/>
        <w:rPr>
          <w:rFonts w:cs="Arial"/>
        </w:rPr>
      </w:pPr>
    </w:p>
    <w:p w:rsidR="00E33CD6" w:rsidRPr="00E33CD6" w:rsidRDefault="00E33CD6" w:rsidP="001678D4">
      <w:pPr>
        <w:jc w:val="both"/>
        <w:rPr>
          <w:rFonts w:cs="Arial"/>
        </w:rPr>
      </w:pPr>
      <w:r w:rsidRPr="00E33CD6">
        <w:rPr>
          <w:rFonts w:cs="Arial"/>
        </w:rPr>
        <w:t>The role will be vital in ensuring a strong relationship between the Property Section and other departments undertaking works across the estate i.e</w:t>
      </w:r>
      <w:r w:rsidR="001678D4">
        <w:rPr>
          <w:rFonts w:cs="Arial"/>
        </w:rPr>
        <w:t>.</w:t>
      </w:r>
      <w:r w:rsidRPr="00E33CD6">
        <w:rPr>
          <w:rFonts w:cs="Arial"/>
        </w:rPr>
        <w:t xml:space="preserve"> Royal Collection Trust.</w:t>
      </w:r>
    </w:p>
    <w:p w:rsidR="00E33CD6" w:rsidRPr="00E33CD6" w:rsidRDefault="00E33CD6" w:rsidP="001678D4">
      <w:pPr>
        <w:jc w:val="both"/>
        <w:rPr>
          <w:rFonts w:cs="Arial"/>
        </w:rPr>
      </w:pPr>
      <w:r w:rsidRPr="00E33CD6">
        <w:rPr>
          <w:rFonts w:cs="Arial"/>
        </w:rPr>
        <w:t xml:space="preserve"> </w:t>
      </w:r>
    </w:p>
    <w:p w:rsidR="00E33CD6" w:rsidRPr="00E33CD6" w:rsidRDefault="00E33CD6" w:rsidP="001678D4">
      <w:pPr>
        <w:jc w:val="both"/>
        <w:rPr>
          <w:rFonts w:cs="Arial"/>
        </w:rPr>
      </w:pPr>
      <w:r w:rsidRPr="00E33CD6">
        <w:rPr>
          <w:rFonts w:cs="Arial"/>
        </w:rPr>
        <w:t>The person w</w:t>
      </w:r>
      <w:r>
        <w:rPr>
          <w:rFonts w:cs="Arial"/>
        </w:rPr>
        <w:t>ill act as the focal point for</w:t>
      </w:r>
      <w:r w:rsidRPr="00E33CD6">
        <w:rPr>
          <w:rFonts w:cs="Arial"/>
        </w:rPr>
        <w:t xml:space="preserve"> key decisions, flow of information and strategic communications regarding the projects, so the right people are informed to make decisions. </w:t>
      </w:r>
    </w:p>
    <w:p w:rsidR="00E33CD6" w:rsidRPr="00E33CD6" w:rsidRDefault="00E33CD6" w:rsidP="001678D4">
      <w:pPr>
        <w:jc w:val="both"/>
        <w:rPr>
          <w:rFonts w:cs="Arial"/>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2214A"/>
        <w:tblLook w:val="01E0" w:firstRow="1" w:lastRow="1" w:firstColumn="1" w:lastColumn="1" w:noHBand="0" w:noVBand="0"/>
      </w:tblPr>
      <w:tblGrid>
        <w:gridCol w:w="10682"/>
      </w:tblGrid>
      <w:tr w:rsidR="00A41DB4" w:rsidRPr="007839FB" w:rsidTr="00F502B9">
        <w:trPr>
          <w:trHeight w:val="494"/>
        </w:trPr>
        <w:tc>
          <w:tcPr>
            <w:tcW w:w="10682" w:type="dxa"/>
            <w:shd w:val="clear" w:color="auto" w:fill="42214A"/>
          </w:tcPr>
          <w:p w:rsidR="00A41DB4" w:rsidRPr="007839FB" w:rsidRDefault="00A41DB4" w:rsidP="001678D4">
            <w:pPr>
              <w:spacing w:before="80"/>
              <w:jc w:val="both"/>
              <w:rPr>
                <w:b/>
                <w:color w:val="FFFFFF"/>
                <w:sz w:val="28"/>
                <w:szCs w:val="28"/>
              </w:rPr>
            </w:pPr>
            <w:r w:rsidRPr="00E6743D">
              <w:rPr>
                <w:b/>
                <w:color w:val="EBE5CC"/>
                <w:sz w:val="28"/>
                <w:szCs w:val="28"/>
              </w:rPr>
              <w:t>Principal Accountabilities</w:t>
            </w:r>
          </w:p>
        </w:tc>
      </w:tr>
    </w:tbl>
    <w:p w:rsidR="00140A6D" w:rsidRDefault="00140A6D" w:rsidP="001678D4">
      <w:pPr>
        <w:jc w:val="both"/>
      </w:pPr>
    </w:p>
    <w:p w:rsidR="00E33CD6" w:rsidRPr="00E33CD6" w:rsidRDefault="00E33CD6" w:rsidP="001678D4">
      <w:pPr>
        <w:jc w:val="both"/>
        <w:rPr>
          <w:rFonts w:cs="Arial"/>
          <w:b/>
        </w:rPr>
      </w:pPr>
      <w:r w:rsidRPr="00E33CD6">
        <w:rPr>
          <w:rFonts w:cs="Arial"/>
          <w:b/>
        </w:rPr>
        <w:t xml:space="preserve">Project Sponsorship </w:t>
      </w:r>
    </w:p>
    <w:p w:rsidR="00E33CD6" w:rsidRPr="00E33CD6" w:rsidRDefault="00E33CD6" w:rsidP="001678D4">
      <w:pPr>
        <w:jc w:val="both"/>
        <w:rPr>
          <w:rFonts w:cs="Arial"/>
          <w:b/>
        </w:rPr>
      </w:pPr>
    </w:p>
    <w:p w:rsidR="00E33CD6" w:rsidRPr="001678D4" w:rsidRDefault="00E33CD6" w:rsidP="001678D4">
      <w:pPr>
        <w:pStyle w:val="ListParagraph"/>
        <w:numPr>
          <w:ilvl w:val="0"/>
          <w:numId w:val="25"/>
        </w:numPr>
        <w:jc w:val="both"/>
        <w:rPr>
          <w:rFonts w:cs="Arial"/>
        </w:rPr>
      </w:pPr>
      <w:r w:rsidRPr="001678D4">
        <w:rPr>
          <w:rFonts w:cs="Arial"/>
        </w:rPr>
        <w:t xml:space="preserve">Act as the principal point of contact between all internal parties (departments, clients, customers and users), external parties (e.g. Local Authorities, Historic England) and the contracted supply chain, to deliver the works. </w:t>
      </w:r>
    </w:p>
    <w:p w:rsidR="00E33CD6" w:rsidRPr="00E33CD6" w:rsidRDefault="00E33CD6" w:rsidP="001678D4">
      <w:pPr>
        <w:jc w:val="both"/>
        <w:rPr>
          <w:rFonts w:cs="Arial"/>
        </w:rPr>
      </w:pPr>
    </w:p>
    <w:p w:rsidR="00E33CD6" w:rsidRPr="001678D4" w:rsidRDefault="00E33CD6" w:rsidP="001678D4">
      <w:pPr>
        <w:pStyle w:val="ListParagraph"/>
        <w:numPr>
          <w:ilvl w:val="0"/>
          <w:numId w:val="25"/>
        </w:numPr>
        <w:jc w:val="both"/>
        <w:rPr>
          <w:rFonts w:cs="Arial"/>
        </w:rPr>
      </w:pPr>
      <w:r w:rsidRPr="001678D4">
        <w:rPr>
          <w:rFonts w:cs="Arial"/>
        </w:rPr>
        <w:t>Act as a focal point for all chosen projects, ensuring a clear communication structure for key information throughout the Property Section and management decision making groups.</w:t>
      </w:r>
    </w:p>
    <w:p w:rsidR="00E33CD6" w:rsidRPr="00E33CD6" w:rsidRDefault="00E33CD6" w:rsidP="001678D4">
      <w:pPr>
        <w:jc w:val="both"/>
        <w:rPr>
          <w:rFonts w:cs="Arial"/>
        </w:rPr>
      </w:pPr>
    </w:p>
    <w:p w:rsidR="00E33CD6" w:rsidRPr="001678D4" w:rsidRDefault="00E33CD6" w:rsidP="001678D4">
      <w:pPr>
        <w:pStyle w:val="ListParagraph"/>
        <w:numPr>
          <w:ilvl w:val="0"/>
          <w:numId w:val="25"/>
        </w:numPr>
        <w:jc w:val="both"/>
        <w:rPr>
          <w:rFonts w:cs="Arial"/>
        </w:rPr>
      </w:pPr>
      <w:r w:rsidRPr="001678D4">
        <w:rPr>
          <w:rFonts w:cs="Arial"/>
        </w:rPr>
        <w:t xml:space="preserve">To liaise closely with Property Section colleagues to ensure projects are appropriately co-ordinated with other works, so as to minimise disruption, allow best use of resources and ensure that work is carried out to the highest possible standards. In addition, to work with colleagues across the organisation, to ensure that projects take account of the continued operation of the Estates and that disruption is minimised. </w:t>
      </w:r>
    </w:p>
    <w:p w:rsidR="00E33CD6" w:rsidRPr="00E33CD6" w:rsidRDefault="00E33CD6" w:rsidP="001678D4">
      <w:pPr>
        <w:jc w:val="both"/>
        <w:rPr>
          <w:rFonts w:cs="Arial"/>
        </w:rPr>
      </w:pPr>
    </w:p>
    <w:p w:rsidR="00E33CD6" w:rsidRPr="001678D4" w:rsidRDefault="00E33CD6" w:rsidP="001678D4">
      <w:pPr>
        <w:pStyle w:val="ListParagraph"/>
        <w:numPr>
          <w:ilvl w:val="0"/>
          <w:numId w:val="25"/>
        </w:numPr>
        <w:jc w:val="both"/>
        <w:rPr>
          <w:rFonts w:cs="Arial"/>
        </w:rPr>
      </w:pPr>
      <w:r w:rsidRPr="001678D4">
        <w:rPr>
          <w:rFonts w:cs="Arial"/>
        </w:rPr>
        <w:t>To be responsible and accountable for the end-to-end project and programme management</w:t>
      </w:r>
      <w:r w:rsidR="00676599">
        <w:rPr>
          <w:rFonts w:cs="Arial"/>
        </w:rPr>
        <w:t>, including budgets and governance</w:t>
      </w:r>
      <w:r w:rsidRPr="001678D4">
        <w:rPr>
          <w:rFonts w:cs="Arial"/>
        </w:rPr>
        <w:t xml:space="preserve"> of a range of works, varying in scope and scale across the entire estate. </w:t>
      </w:r>
    </w:p>
    <w:p w:rsidR="00E33CD6" w:rsidRPr="00E33CD6" w:rsidRDefault="00E33CD6" w:rsidP="001678D4">
      <w:pPr>
        <w:jc w:val="both"/>
        <w:rPr>
          <w:rFonts w:cs="Arial"/>
        </w:rPr>
      </w:pPr>
    </w:p>
    <w:p w:rsidR="00E33CD6" w:rsidRPr="001678D4" w:rsidRDefault="00E33CD6" w:rsidP="001678D4">
      <w:pPr>
        <w:pStyle w:val="ListParagraph"/>
        <w:numPr>
          <w:ilvl w:val="0"/>
          <w:numId w:val="25"/>
        </w:numPr>
        <w:jc w:val="both"/>
        <w:rPr>
          <w:rFonts w:cs="Arial"/>
        </w:rPr>
      </w:pPr>
      <w:r w:rsidRPr="001678D4">
        <w:rPr>
          <w:rFonts w:cs="Arial"/>
        </w:rPr>
        <w:t xml:space="preserve">Active management of project managers, through the external professional consultants team(s), in order to deliver the expected quality, performance and standards. </w:t>
      </w:r>
    </w:p>
    <w:p w:rsidR="00E33CD6" w:rsidRPr="00E33CD6" w:rsidRDefault="00E33CD6" w:rsidP="001678D4">
      <w:pPr>
        <w:jc w:val="both"/>
        <w:rPr>
          <w:rFonts w:cs="Arial"/>
        </w:rPr>
      </w:pPr>
    </w:p>
    <w:p w:rsidR="00E33CD6" w:rsidRPr="001678D4" w:rsidRDefault="00E33CD6" w:rsidP="001678D4">
      <w:pPr>
        <w:pStyle w:val="ListParagraph"/>
        <w:numPr>
          <w:ilvl w:val="0"/>
          <w:numId w:val="25"/>
        </w:numPr>
        <w:jc w:val="both"/>
        <w:rPr>
          <w:rFonts w:cs="Arial"/>
        </w:rPr>
      </w:pPr>
      <w:r w:rsidRPr="001678D4">
        <w:rPr>
          <w:rFonts w:cs="Arial"/>
        </w:rPr>
        <w:t>Safeguard the historic building fabric of the estate, through the diligent planning and execution of the project works. To manage the planning of a project; preparation of specifications, schedules of work, sketch plans and simple working drawing; management of the tender process; appointment of contractors; supervision through to completion, settlement of final accounts and handover to the Operations team.</w:t>
      </w:r>
    </w:p>
    <w:p w:rsidR="00E33CD6" w:rsidRPr="00E33CD6" w:rsidRDefault="00E33CD6" w:rsidP="001678D4">
      <w:pPr>
        <w:jc w:val="both"/>
        <w:rPr>
          <w:rFonts w:cs="Arial"/>
        </w:rPr>
      </w:pPr>
    </w:p>
    <w:p w:rsidR="00E33CD6" w:rsidRPr="001678D4" w:rsidRDefault="00E33CD6" w:rsidP="001678D4">
      <w:pPr>
        <w:pStyle w:val="ListParagraph"/>
        <w:numPr>
          <w:ilvl w:val="0"/>
          <w:numId w:val="25"/>
        </w:numPr>
        <w:jc w:val="both"/>
        <w:rPr>
          <w:rFonts w:cs="Arial"/>
        </w:rPr>
      </w:pPr>
      <w:r w:rsidRPr="001678D4">
        <w:rPr>
          <w:rFonts w:cs="Arial"/>
        </w:rPr>
        <w:t xml:space="preserve">To oversee project management methodology including document templates and monitoring systems. </w:t>
      </w:r>
    </w:p>
    <w:p w:rsidR="00676599" w:rsidRDefault="00676599" w:rsidP="001678D4">
      <w:pPr>
        <w:jc w:val="both"/>
        <w:rPr>
          <w:rFonts w:cs="Arial"/>
          <w:b/>
        </w:rPr>
      </w:pPr>
    </w:p>
    <w:p w:rsidR="00E33CD6" w:rsidRPr="00E33CD6" w:rsidRDefault="00E33CD6" w:rsidP="001678D4">
      <w:pPr>
        <w:jc w:val="both"/>
        <w:rPr>
          <w:rFonts w:cs="Arial"/>
          <w:b/>
        </w:rPr>
      </w:pPr>
      <w:r w:rsidRPr="00E33CD6">
        <w:rPr>
          <w:rFonts w:cs="Arial"/>
          <w:b/>
        </w:rPr>
        <w:t>Compliance and Risk Management</w:t>
      </w:r>
    </w:p>
    <w:p w:rsidR="00E33CD6" w:rsidRPr="001678D4" w:rsidRDefault="00E33CD6" w:rsidP="001678D4">
      <w:pPr>
        <w:pStyle w:val="ListParagraph"/>
        <w:numPr>
          <w:ilvl w:val="0"/>
          <w:numId w:val="24"/>
        </w:numPr>
        <w:jc w:val="both"/>
        <w:rPr>
          <w:rFonts w:cs="Arial"/>
        </w:rPr>
      </w:pPr>
      <w:r w:rsidRPr="001678D4">
        <w:rPr>
          <w:rFonts w:cs="Arial"/>
        </w:rPr>
        <w:lastRenderedPageBreak/>
        <w:t>To ensure that all relevant statutory compliance and legislative requirements are met; that associated policies and procedures (internal and external) are known and adhered to; and that consultants and contractors are competent.</w:t>
      </w:r>
    </w:p>
    <w:p w:rsidR="00E33CD6" w:rsidRPr="00E33CD6" w:rsidRDefault="00E33CD6" w:rsidP="001678D4">
      <w:pPr>
        <w:jc w:val="both"/>
        <w:rPr>
          <w:rFonts w:cs="Arial"/>
        </w:rPr>
      </w:pPr>
    </w:p>
    <w:p w:rsidR="00E33CD6" w:rsidRPr="001678D4" w:rsidRDefault="00E33CD6" w:rsidP="001678D4">
      <w:pPr>
        <w:pStyle w:val="ListParagraph"/>
        <w:numPr>
          <w:ilvl w:val="0"/>
          <w:numId w:val="24"/>
        </w:numPr>
        <w:jc w:val="both"/>
        <w:rPr>
          <w:rFonts w:cs="Arial"/>
        </w:rPr>
      </w:pPr>
      <w:r w:rsidRPr="001678D4">
        <w:rPr>
          <w:rFonts w:cs="Arial"/>
        </w:rPr>
        <w:t xml:space="preserve">To own, manage, mitigate and remove risk within the resource boundaries of your schemes. </w:t>
      </w:r>
    </w:p>
    <w:p w:rsidR="00E33CD6" w:rsidRPr="00E33CD6" w:rsidRDefault="00E33CD6" w:rsidP="001678D4">
      <w:pPr>
        <w:jc w:val="both"/>
        <w:rPr>
          <w:rFonts w:cs="Arial"/>
        </w:rPr>
      </w:pPr>
    </w:p>
    <w:p w:rsidR="00E33CD6" w:rsidRPr="001678D4" w:rsidRDefault="00E33CD6" w:rsidP="001678D4">
      <w:pPr>
        <w:pStyle w:val="ListParagraph"/>
        <w:numPr>
          <w:ilvl w:val="0"/>
          <w:numId w:val="24"/>
        </w:numPr>
        <w:jc w:val="both"/>
        <w:rPr>
          <w:rFonts w:cs="Arial"/>
        </w:rPr>
      </w:pPr>
      <w:r w:rsidRPr="001678D4">
        <w:rPr>
          <w:rFonts w:cs="Arial"/>
        </w:rPr>
        <w:t xml:space="preserve">To obtain the necessary approvals and sign offs for each stage of a project, with the appropriate decision making parties within the agreed timescales. </w:t>
      </w:r>
    </w:p>
    <w:p w:rsidR="00E33CD6" w:rsidRPr="00E33CD6" w:rsidRDefault="00E33CD6" w:rsidP="001678D4">
      <w:pPr>
        <w:jc w:val="both"/>
        <w:rPr>
          <w:rFonts w:cs="Arial"/>
          <w:b/>
        </w:rPr>
      </w:pPr>
    </w:p>
    <w:p w:rsidR="00E33CD6" w:rsidRPr="00E33CD6" w:rsidRDefault="00E33CD6" w:rsidP="001678D4">
      <w:pPr>
        <w:jc w:val="both"/>
        <w:rPr>
          <w:rFonts w:cs="Arial"/>
          <w:b/>
        </w:rPr>
      </w:pPr>
      <w:r w:rsidRPr="00E33CD6">
        <w:rPr>
          <w:rFonts w:cs="Arial"/>
          <w:b/>
        </w:rPr>
        <w:t>Financial, Contract and Systems Management</w:t>
      </w:r>
    </w:p>
    <w:p w:rsidR="00E33CD6" w:rsidRPr="00E33CD6" w:rsidRDefault="00E33CD6" w:rsidP="001678D4">
      <w:pPr>
        <w:jc w:val="both"/>
        <w:rPr>
          <w:rFonts w:cs="Arial"/>
          <w:b/>
        </w:rPr>
      </w:pPr>
    </w:p>
    <w:p w:rsidR="00E33CD6" w:rsidRPr="001678D4" w:rsidRDefault="00E33CD6" w:rsidP="001678D4">
      <w:pPr>
        <w:pStyle w:val="ListParagraph"/>
        <w:numPr>
          <w:ilvl w:val="0"/>
          <w:numId w:val="23"/>
        </w:numPr>
        <w:jc w:val="both"/>
        <w:rPr>
          <w:rFonts w:cs="Arial"/>
        </w:rPr>
      </w:pPr>
      <w:r w:rsidRPr="001678D4">
        <w:rPr>
          <w:rFonts w:cs="Arial"/>
        </w:rPr>
        <w:t>To ensure works are procured in the most cost-effective manner in order to achieve excellent value for money.</w:t>
      </w:r>
    </w:p>
    <w:p w:rsidR="00E33CD6" w:rsidRPr="00E33CD6" w:rsidRDefault="00E33CD6" w:rsidP="001678D4">
      <w:pPr>
        <w:jc w:val="both"/>
        <w:rPr>
          <w:rFonts w:cs="Arial"/>
        </w:rPr>
      </w:pPr>
    </w:p>
    <w:p w:rsidR="00E33CD6" w:rsidRPr="001678D4" w:rsidRDefault="00E33CD6" w:rsidP="001678D4">
      <w:pPr>
        <w:pStyle w:val="ListParagraph"/>
        <w:numPr>
          <w:ilvl w:val="0"/>
          <w:numId w:val="23"/>
        </w:numPr>
        <w:jc w:val="both"/>
        <w:rPr>
          <w:rFonts w:cs="Arial"/>
        </w:rPr>
      </w:pPr>
      <w:r w:rsidRPr="001678D4">
        <w:rPr>
          <w:rFonts w:cs="Arial"/>
        </w:rPr>
        <w:t xml:space="preserve">To ensure all financial, tender and contract management procedures comply with departmental </w:t>
      </w:r>
      <w:proofErr w:type="gramStart"/>
      <w:r w:rsidRPr="001678D4">
        <w:rPr>
          <w:rFonts w:cs="Arial"/>
        </w:rPr>
        <w:t>governance, that</w:t>
      </w:r>
      <w:proofErr w:type="gramEnd"/>
      <w:r w:rsidRPr="001678D4">
        <w:rPr>
          <w:rFonts w:cs="Arial"/>
        </w:rPr>
        <w:t xml:space="preserve"> financial authorisations fall within delegations and are carried out in the correct time. </w:t>
      </w:r>
    </w:p>
    <w:p w:rsidR="00E33CD6" w:rsidRPr="00E33CD6" w:rsidRDefault="00E33CD6" w:rsidP="001678D4">
      <w:pPr>
        <w:jc w:val="both"/>
        <w:rPr>
          <w:rFonts w:cs="Arial"/>
        </w:rPr>
      </w:pPr>
    </w:p>
    <w:p w:rsidR="00E33CD6" w:rsidRPr="001678D4" w:rsidRDefault="00E33CD6" w:rsidP="001678D4">
      <w:pPr>
        <w:pStyle w:val="ListParagraph"/>
        <w:numPr>
          <w:ilvl w:val="0"/>
          <w:numId w:val="23"/>
        </w:numPr>
        <w:jc w:val="both"/>
        <w:rPr>
          <w:rFonts w:cs="Arial"/>
        </w:rPr>
      </w:pPr>
      <w:r w:rsidRPr="001678D4">
        <w:rPr>
          <w:rFonts w:cs="Arial"/>
        </w:rPr>
        <w:t>To ensure detailed documentary evidence is retained for the projects that shows complete adherence to governance processes in line with the records management and filing protocols in place (to include tender documents, archives and historic documents, photograph library and technical drawings).</w:t>
      </w:r>
    </w:p>
    <w:p w:rsidR="00E33CD6" w:rsidRPr="00E33CD6" w:rsidRDefault="00E33CD6" w:rsidP="001678D4">
      <w:pPr>
        <w:jc w:val="both"/>
        <w:rPr>
          <w:rFonts w:cs="Arial"/>
        </w:rPr>
      </w:pPr>
    </w:p>
    <w:p w:rsidR="00E33CD6" w:rsidRPr="001678D4" w:rsidRDefault="00E33CD6" w:rsidP="001678D4">
      <w:pPr>
        <w:pStyle w:val="ListParagraph"/>
        <w:numPr>
          <w:ilvl w:val="0"/>
          <w:numId w:val="23"/>
        </w:numPr>
        <w:jc w:val="both"/>
        <w:rPr>
          <w:rFonts w:cs="Arial"/>
        </w:rPr>
      </w:pPr>
      <w:r w:rsidRPr="001678D4">
        <w:rPr>
          <w:rFonts w:cs="Arial"/>
        </w:rPr>
        <w:t>To ensure all</w:t>
      </w:r>
      <w:r w:rsidR="00676599">
        <w:rPr>
          <w:rFonts w:cs="Arial"/>
        </w:rPr>
        <w:t xml:space="preserve"> Property related</w:t>
      </w:r>
      <w:r w:rsidRPr="001678D4">
        <w:rPr>
          <w:rFonts w:cs="Arial"/>
        </w:rPr>
        <w:t xml:space="preserve"> IT systems and databases</w:t>
      </w:r>
      <w:r w:rsidR="00676599">
        <w:rPr>
          <w:rFonts w:cs="Arial"/>
        </w:rPr>
        <w:t xml:space="preserve"> for these projects</w:t>
      </w:r>
      <w:r w:rsidRPr="001678D4">
        <w:rPr>
          <w:rFonts w:cs="Arial"/>
        </w:rPr>
        <w:t xml:space="preserve"> are </w:t>
      </w:r>
      <w:r w:rsidR="00676599">
        <w:rPr>
          <w:rFonts w:cs="Arial"/>
        </w:rPr>
        <w:t xml:space="preserve">created and thereafter </w:t>
      </w:r>
      <w:r w:rsidRPr="001678D4">
        <w:rPr>
          <w:rFonts w:cs="Arial"/>
        </w:rPr>
        <w:t>utilised correctly and kept up-to-date.</w:t>
      </w:r>
    </w:p>
    <w:p w:rsidR="00E33CD6" w:rsidRPr="00E33CD6" w:rsidRDefault="00E33CD6" w:rsidP="001678D4">
      <w:pPr>
        <w:jc w:val="both"/>
        <w:rPr>
          <w:rFonts w:cs="Arial"/>
          <w:b/>
        </w:rPr>
      </w:pPr>
    </w:p>
    <w:p w:rsidR="00E33CD6" w:rsidRPr="00E33CD6" w:rsidRDefault="00E33CD6" w:rsidP="001678D4">
      <w:pPr>
        <w:jc w:val="both"/>
        <w:rPr>
          <w:rFonts w:cs="Arial"/>
          <w:b/>
        </w:rPr>
      </w:pPr>
      <w:r w:rsidRPr="00E33CD6">
        <w:rPr>
          <w:rFonts w:cs="Arial"/>
          <w:b/>
        </w:rPr>
        <w:t>Stakeholder Management</w:t>
      </w:r>
    </w:p>
    <w:p w:rsidR="00E33CD6" w:rsidRPr="00E33CD6" w:rsidRDefault="00E33CD6" w:rsidP="001678D4">
      <w:pPr>
        <w:jc w:val="both"/>
        <w:rPr>
          <w:rFonts w:cs="Arial"/>
          <w:b/>
        </w:rPr>
      </w:pPr>
    </w:p>
    <w:p w:rsidR="00E33CD6" w:rsidRPr="001678D4" w:rsidRDefault="00E33CD6" w:rsidP="001678D4">
      <w:pPr>
        <w:pStyle w:val="ListParagraph"/>
        <w:numPr>
          <w:ilvl w:val="0"/>
          <w:numId w:val="22"/>
        </w:numPr>
        <w:jc w:val="both"/>
        <w:rPr>
          <w:rFonts w:cs="Arial"/>
        </w:rPr>
      </w:pPr>
      <w:r w:rsidRPr="001678D4">
        <w:rPr>
          <w:rFonts w:cs="Arial"/>
        </w:rPr>
        <w:t>To pro-actively manage stakeholder relationships and communicate regularly to internal and external stakeholders (including the client and all those affected by the works) on the progress and impact of works so as to minimise disruption.</w:t>
      </w:r>
    </w:p>
    <w:p w:rsidR="00E33CD6" w:rsidRPr="00E33CD6" w:rsidRDefault="00E33CD6" w:rsidP="001678D4">
      <w:pPr>
        <w:jc w:val="both"/>
        <w:rPr>
          <w:rFonts w:cs="Arial"/>
        </w:rPr>
      </w:pPr>
    </w:p>
    <w:p w:rsidR="00E33CD6" w:rsidRPr="001678D4" w:rsidRDefault="00E33CD6" w:rsidP="001678D4">
      <w:pPr>
        <w:pStyle w:val="ListParagraph"/>
        <w:numPr>
          <w:ilvl w:val="0"/>
          <w:numId w:val="22"/>
        </w:numPr>
        <w:jc w:val="both"/>
        <w:rPr>
          <w:rFonts w:cs="Arial"/>
        </w:rPr>
      </w:pPr>
      <w:r w:rsidRPr="001678D4">
        <w:rPr>
          <w:rFonts w:cs="Arial"/>
        </w:rPr>
        <w:t>To liaise closely with customers to ensure the service provided meets their needs and expectations and that the highest levels of customer service are delivered.</w:t>
      </w:r>
    </w:p>
    <w:p w:rsidR="00E33CD6" w:rsidRPr="00E33CD6" w:rsidRDefault="00E33CD6" w:rsidP="001678D4">
      <w:pPr>
        <w:jc w:val="both"/>
        <w:rPr>
          <w:rFonts w:cs="Arial"/>
        </w:rPr>
      </w:pPr>
    </w:p>
    <w:p w:rsidR="008407DC" w:rsidRPr="001678D4" w:rsidRDefault="00E33CD6" w:rsidP="001678D4">
      <w:pPr>
        <w:pStyle w:val="ListParagraph"/>
        <w:numPr>
          <w:ilvl w:val="0"/>
          <w:numId w:val="22"/>
        </w:numPr>
        <w:jc w:val="both"/>
        <w:rPr>
          <w:rFonts w:cs="Arial"/>
        </w:rPr>
      </w:pPr>
      <w:r w:rsidRPr="001678D4">
        <w:rPr>
          <w:rFonts w:cs="Arial"/>
        </w:rPr>
        <w:t xml:space="preserve">To be the main point of contact for all chosen projects, ensuring clear and </w:t>
      </w:r>
      <w:proofErr w:type="gramStart"/>
      <w:r w:rsidRPr="001678D4">
        <w:rPr>
          <w:rFonts w:cs="Arial"/>
        </w:rPr>
        <w:t>consistent  communications</w:t>
      </w:r>
      <w:proofErr w:type="gramEnd"/>
      <w:r w:rsidRPr="001678D4">
        <w:rPr>
          <w:rFonts w:cs="Arial"/>
        </w:rPr>
        <w:t xml:space="preserve"> of relevant information throughout the Property Section and management decision making groups. This will include production of board papers and reports.  </w:t>
      </w:r>
    </w:p>
    <w:p w:rsidR="00E33CD6" w:rsidRDefault="00E33CD6" w:rsidP="001678D4">
      <w:pPr>
        <w:jc w:val="both"/>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2214A"/>
        <w:tblLook w:val="01E0" w:firstRow="1" w:lastRow="1" w:firstColumn="1" w:lastColumn="1" w:noHBand="0" w:noVBand="0"/>
      </w:tblPr>
      <w:tblGrid>
        <w:gridCol w:w="10662"/>
      </w:tblGrid>
      <w:tr w:rsidR="00140A6D" w:rsidRPr="007839FB" w:rsidTr="00B91BAB">
        <w:trPr>
          <w:trHeight w:val="479"/>
        </w:trPr>
        <w:tc>
          <w:tcPr>
            <w:tcW w:w="10662" w:type="dxa"/>
            <w:shd w:val="clear" w:color="auto" w:fill="42214A"/>
          </w:tcPr>
          <w:p w:rsidR="00140A6D" w:rsidRPr="007839FB" w:rsidRDefault="00140A6D" w:rsidP="001678D4">
            <w:pPr>
              <w:spacing w:before="80"/>
              <w:jc w:val="both"/>
              <w:rPr>
                <w:b/>
                <w:color w:val="FFFFFF"/>
                <w:sz w:val="28"/>
                <w:szCs w:val="28"/>
              </w:rPr>
            </w:pPr>
            <w:r w:rsidRPr="00E6743D">
              <w:rPr>
                <w:b/>
                <w:color w:val="EBE5CC"/>
                <w:sz w:val="28"/>
                <w:szCs w:val="28"/>
              </w:rPr>
              <w:t>Job Dimensions</w:t>
            </w:r>
          </w:p>
        </w:tc>
      </w:tr>
    </w:tbl>
    <w:p w:rsidR="00140A6D" w:rsidRPr="007839FB" w:rsidRDefault="00140A6D" w:rsidP="001678D4">
      <w:pPr>
        <w:jc w:val="both"/>
      </w:pPr>
    </w:p>
    <w:p w:rsidR="006B46E8" w:rsidRDefault="00E33CD6" w:rsidP="001678D4">
      <w:pPr>
        <w:jc w:val="both"/>
        <w:rPr>
          <w:rFonts w:cs="Arial"/>
        </w:rPr>
      </w:pPr>
      <w:r>
        <w:rPr>
          <w:rFonts w:cs="Arial"/>
        </w:rPr>
        <w:t>The post holder will have the r</w:t>
      </w:r>
      <w:r w:rsidR="006B46E8">
        <w:rPr>
          <w:rFonts w:cs="Arial"/>
        </w:rPr>
        <w:t xml:space="preserve">esponsibility </w:t>
      </w:r>
      <w:r>
        <w:rPr>
          <w:rFonts w:cs="Arial"/>
        </w:rPr>
        <w:t>to supervise and manage a number of external consultant and third party teams</w:t>
      </w:r>
      <w:r w:rsidR="006B46E8" w:rsidRPr="0096134E">
        <w:rPr>
          <w:rFonts w:cs="Arial"/>
        </w:rPr>
        <w:t xml:space="preserve">. </w:t>
      </w:r>
      <w:r>
        <w:rPr>
          <w:rFonts w:cs="Arial"/>
        </w:rPr>
        <w:t>They will have n</w:t>
      </w:r>
      <w:r w:rsidRPr="0096134E">
        <w:rPr>
          <w:rFonts w:cs="Arial"/>
        </w:rPr>
        <w:t>o line management responsibility</w:t>
      </w:r>
      <w:r>
        <w:rPr>
          <w:rFonts w:cs="Arial"/>
        </w:rPr>
        <w:t xml:space="preserve"> of direct employees. The post holder will be expected to have a d</w:t>
      </w:r>
      <w:r w:rsidR="006B46E8" w:rsidRPr="0096134E">
        <w:rPr>
          <w:rFonts w:cs="Arial"/>
        </w:rPr>
        <w:t xml:space="preserve">etailed financial control and </w:t>
      </w:r>
      <w:r w:rsidR="006B46E8">
        <w:rPr>
          <w:rFonts w:cs="Arial"/>
        </w:rPr>
        <w:t>monitor</w:t>
      </w:r>
      <w:r>
        <w:rPr>
          <w:rFonts w:cs="Arial"/>
        </w:rPr>
        <w:t xml:space="preserve"> </w:t>
      </w:r>
      <w:r w:rsidR="006B46E8" w:rsidRPr="0096134E">
        <w:rPr>
          <w:rFonts w:cs="Arial"/>
        </w:rPr>
        <w:t>expenditure, w</w:t>
      </w:r>
      <w:r w:rsidR="006B46E8">
        <w:rPr>
          <w:rFonts w:cs="Arial"/>
        </w:rPr>
        <w:t xml:space="preserve">orking with the Head of Procurement and Head of Projects to ensure the </w:t>
      </w:r>
      <w:r w:rsidR="006B46E8" w:rsidRPr="0096134E">
        <w:rPr>
          <w:rFonts w:cs="Arial"/>
        </w:rPr>
        <w:t>highest governance standards.</w:t>
      </w:r>
    </w:p>
    <w:p w:rsidR="00140A6D" w:rsidRDefault="00140A6D" w:rsidP="001678D4">
      <w:pPr>
        <w:jc w:val="both"/>
        <w:rPr>
          <w:b/>
        </w:rPr>
      </w:pPr>
      <w:bookmarkStart w:id="0" w:name="_GoBack"/>
      <w:bookmarkEnd w:id="0"/>
    </w:p>
    <w:p w:rsidR="00726D4E" w:rsidRPr="007839FB" w:rsidRDefault="00726D4E" w:rsidP="001678D4">
      <w:pPr>
        <w:jc w:val="both"/>
        <w:rPr>
          <w:b/>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2214A"/>
        <w:tblLook w:val="01E0" w:firstRow="1" w:lastRow="1" w:firstColumn="1" w:lastColumn="1" w:noHBand="0" w:noVBand="0"/>
      </w:tblPr>
      <w:tblGrid>
        <w:gridCol w:w="10725"/>
      </w:tblGrid>
      <w:tr w:rsidR="00140A6D" w:rsidRPr="007839FB" w:rsidTr="00B91BAB">
        <w:trPr>
          <w:trHeight w:val="494"/>
        </w:trPr>
        <w:tc>
          <w:tcPr>
            <w:tcW w:w="10725" w:type="dxa"/>
            <w:shd w:val="clear" w:color="auto" w:fill="42214A"/>
          </w:tcPr>
          <w:p w:rsidR="00140A6D" w:rsidRPr="007839FB" w:rsidRDefault="00140A6D" w:rsidP="001678D4">
            <w:pPr>
              <w:spacing w:before="80"/>
              <w:jc w:val="both"/>
              <w:rPr>
                <w:b/>
                <w:color w:val="FFFFFF"/>
                <w:sz w:val="28"/>
                <w:szCs w:val="28"/>
              </w:rPr>
            </w:pPr>
            <w:r w:rsidRPr="00E6743D">
              <w:rPr>
                <w:b/>
                <w:color w:val="EBE5CC"/>
                <w:sz w:val="28"/>
                <w:szCs w:val="28"/>
              </w:rPr>
              <w:t>Decision Making Responsibilities</w:t>
            </w:r>
          </w:p>
        </w:tc>
      </w:tr>
    </w:tbl>
    <w:p w:rsidR="00140A6D" w:rsidRPr="007839FB" w:rsidRDefault="00140A6D" w:rsidP="001678D4">
      <w:pPr>
        <w:jc w:val="both"/>
      </w:pPr>
    </w:p>
    <w:p w:rsidR="00E33CD6" w:rsidRDefault="00E33CD6" w:rsidP="001678D4">
      <w:pPr>
        <w:jc w:val="both"/>
      </w:pPr>
      <w:r w:rsidRPr="00E33CD6">
        <w:t>The</w:t>
      </w:r>
      <w:r w:rsidR="001678D4">
        <w:t xml:space="preserve"> post holder will have the</w:t>
      </w:r>
      <w:r w:rsidRPr="00E33CD6">
        <w:t xml:space="preserve"> abi</w:t>
      </w:r>
      <w:r w:rsidR="001678D4">
        <w:t xml:space="preserve">lity to take decisions and use their </w:t>
      </w:r>
      <w:r w:rsidRPr="00E33CD6">
        <w:t>integrity and judgement, whilst exercising caution</w:t>
      </w:r>
      <w:r w:rsidR="001678D4">
        <w:t xml:space="preserve">. As </w:t>
      </w:r>
      <w:r w:rsidRPr="00E33CD6">
        <w:t xml:space="preserve">an essential requisite for the job, </w:t>
      </w:r>
      <w:r w:rsidR="001678D4">
        <w:t xml:space="preserve">the post holder will also know when to refer to others, such as the Property Management board, </w:t>
      </w:r>
      <w:r w:rsidRPr="00E33CD6">
        <w:t>for either consultation or information.</w:t>
      </w:r>
    </w:p>
    <w:p w:rsidR="00726D4E" w:rsidRDefault="00726D4E" w:rsidP="001678D4">
      <w:pPr>
        <w:jc w:val="both"/>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2214A"/>
        <w:tblLook w:val="01E0" w:firstRow="1" w:lastRow="1" w:firstColumn="1" w:lastColumn="1" w:noHBand="0" w:noVBand="0"/>
      </w:tblPr>
      <w:tblGrid>
        <w:gridCol w:w="10725"/>
      </w:tblGrid>
      <w:tr w:rsidR="00A41DB4" w:rsidRPr="007839FB" w:rsidTr="003573F3">
        <w:trPr>
          <w:trHeight w:val="451"/>
        </w:trPr>
        <w:tc>
          <w:tcPr>
            <w:tcW w:w="10725" w:type="dxa"/>
            <w:shd w:val="clear" w:color="auto" w:fill="42214A"/>
          </w:tcPr>
          <w:p w:rsidR="00A41DB4" w:rsidRPr="007839FB" w:rsidRDefault="00A41DB4" w:rsidP="001678D4">
            <w:pPr>
              <w:spacing w:before="80"/>
              <w:jc w:val="both"/>
              <w:rPr>
                <w:b/>
                <w:color w:val="FFFFFF"/>
                <w:sz w:val="28"/>
                <w:szCs w:val="28"/>
              </w:rPr>
            </w:pPr>
            <w:r w:rsidRPr="00E6743D">
              <w:rPr>
                <w:b/>
                <w:color w:val="EBE5CC"/>
                <w:sz w:val="28"/>
                <w:szCs w:val="28"/>
              </w:rPr>
              <w:t>Practical Requirements</w:t>
            </w:r>
          </w:p>
        </w:tc>
      </w:tr>
    </w:tbl>
    <w:p w:rsidR="00A41DB4" w:rsidRPr="006C2372" w:rsidRDefault="00A41DB4" w:rsidP="001678D4">
      <w:pPr>
        <w:jc w:val="both"/>
        <w:rPr>
          <w:sz w:val="20"/>
          <w:szCs w:val="20"/>
        </w:rPr>
      </w:pPr>
    </w:p>
    <w:p w:rsidR="006B46E8" w:rsidRPr="00863A3A" w:rsidRDefault="006B46E8" w:rsidP="001678D4">
      <w:pPr>
        <w:jc w:val="both"/>
        <w:rPr>
          <w:rFonts w:cs="Arial"/>
        </w:rPr>
      </w:pPr>
      <w:r>
        <w:rPr>
          <w:rFonts w:cs="Arial"/>
        </w:rPr>
        <w:t>D</w:t>
      </w:r>
      <w:r w:rsidRPr="00863A3A">
        <w:rPr>
          <w:rFonts w:cs="Arial"/>
        </w:rPr>
        <w:t xml:space="preserve">ue to the nature of the position the post-holder must have a flexible approach to working hours.  </w:t>
      </w:r>
      <w:r>
        <w:rPr>
          <w:rFonts w:cs="Arial"/>
        </w:rPr>
        <w:t>Although principally based in London, the post-holder will work at different locations in line with business need, including Windsor.</w:t>
      </w:r>
    </w:p>
    <w:p w:rsidR="00A41DB4" w:rsidRPr="007839FB" w:rsidRDefault="00A41DB4" w:rsidP="001678D4">
      <w:pPr>
        <w:jc w:val="both"/>
        <w:rPr>
          <w:sz w:val="20"/>
          <w:szCs w:val="20"/>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2214A"/>
        <w:tblLook w:val="01E0" w:firstRow="1" w:lastRow="1" w:firstColumn="1" w:lastColumn="1" w:noHBand="0" w:noVBand="0"/>
      </w:tblPr>
      <w:tblGrid>
        <w:gridCol w:w="10746"/>
      </w:tblGrid>
      <w:tr w:rsidR="00E6743D" w:rsidRPr="00E6743D" w:rsidTr="003573F3">
        <w:trPr>
          <w:trHeight w:val="494"/>
        </w:trPr>
        <w:tc>
          <w:tcPr>
            <w:tcW w:w="10746" w:type="dxa"/>
            <w:shd w:val="clear" w:color="auto" w:fill="42214A"/>
          </w:tcPr>
          <w:p w:rsidR="00A41DB4" w:rsidRPr="00E6743D" w:rsidRDefault="00F502B9" w:rsidP="001678D4">
            <w:pPr>
              <w:spacing w:before="80"/>
              <w:jc w:val="both"/>
              <w:rPr>
                <w:b/>
                <w:color w:val="EBE5CC"/>
                <w:sz w:val="28"/>
                <w:szCs w:val="28"/>
              </w:rPr>
            </w:pPr>
            <w:r w:rsidRPr="00E6743D">
              <w:rPr>
                <w:b/>
                <w:noProof/>
                <w:color w:val="EBE5CC"/>
                <w:sz w:val="28"/>
                <w:szCs w:val="28"/>
              </w:rPr>
              <mc:AlternateContent>
                <mc:Choice Requires="wps">
                  <w:drawing>
                    <wp:anchor distT="0" distB="0" distL="114300" distR="114300" simplePos="0" relativeHeight="251657728" behindDoc="0" locked="0" layoutInCell="1" allowOverlap="1" wp14:anchorId="67DCF1BF" wp14:editId="22330A20">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7C3FD3" w:rsidRDefault="007C3FD3">
                                  <w:pPr>
                                    <w:rPr>
                                      <w:noProof/>
                                    </w:rPr>
                                  </w:pPr>
                                  <w:r>
                                    <w:rPr>
                                      <w:noProof/>
                                    </w:rPr>
                                    <w:t>Version:1.10.0.8</w:t>
                                  </w:r>
                                </w:p>
                                <w:p w:rsidR="007C3FD3" w:rsidRDefault="007C3FD3">
                                  <w:pPr>
                                    <w:rPr>
                                      <w:noProof/>
                                    </w:rPr>
                                  </w:pPr>
                                  <w:r>
                                    <w:rPr>
                                      <w:noProof/>
                                    </w:rPr>
                                    <w:t>Hash:rv0xSjngK13Q9P9g2zLLTCplbDU=</w:t>
                                  </w:r>
                                </w:p>
                                <w:p w:rsidR="007C3FD3" w:rsidRDefault="007C3FD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heRoyalHouseholdTitusSignature" o:spid="_x0000_s1026"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">
                      <v:textbox>
                        <w:txbxContent>
                          <w:p w:rsidR="007C3FD3" w:rsidRDefault="007C3FD3">
                            <w:pPr>
                              <w:rPr>
                                <w:noProof/>
                              </w:rPr>
                            </w:pPr>
                            <w:r>
                              <w:rPr>
                                <w:noProof/>
                              </w:rPr>
                              <w:t>Version:1.10.0.8</w:t>
                            </w:r>
                          </w:p>
                          <w:p w:rsidR="007C3FD3" w:rsidRDefault="007C3FD3">
                            <w:pPr>
                              <w:rPr>
                                <w:noProof/>
                              </w:rPr>
                            </w:pPr>
                            <w:r>
                              <w:rPr>
                                <w:noProof/>
                              </w:rPr>
                              <w:t>Hash:rv0xSjngK13Q9P9g2zLLTCplbDU=</w:t>
                            </w:r>
                          </w:p>
                          <w:p w:rsidR="007C3FD3" w:rsidRDefault="007C3FD3">
                            <w:pPr>
                              <w:rPr>
                                <w:noProof/>
                              </w:rPr>
                            </w:pPr>
                          </w:p>
                        </w:txbxContent>
                      </v:textbox>
                    </v:shape>
                  </w:pict>
                </mc:Fallback>
              </mc:AlternateContent>
            </w:r>
            <w:r w:rsidR="00A41DB4" w:rsidRPr="00E6743D">
              <w:rPr>
                <w:b/>
                <w:color w:val="EBE5CC"/>
                <w:sz w:val="28"/>
                <w:szCs w:val="28"/>
              </w:rPr>
              <w:t xml:space="preserve">Person Specification </w:t>
            </w:r>
          </w:p>
        </w:tc>
      </w:tr>
    </w:tbl>
    <w:p w:rsidR="00A41DB4" w:rsidRPr="007839FB" w:rsidRDefault="00A41DB4" w:rsidP="001678D4">
      <w:pPr>
        <w:jc w:val="both"/>
        <w:rPr>
          <w:sz w:val="20"/>
          <w:szCs w:val="20"/>
        </w:rPr>
      </w:pPr>
    </w:p>
    <w:p w:rsidR="001678D4" w:rsidRPr="001678D4" w:rsidRDefault="001678D4" w:rsidP="001678D4">
      <w:pPr>
        <w:pStyle w:val="ListParagraph"/>
        <w:numPr>
          <w:ilvl w:val="0"/>
          <w:numId w:val="21"/>
        </w:numPr>
        <w:jc w:val="both"/>
        <w:rPr>
          <w:rFonts w:cs="Arial"/>
        </w:rPr>
      </w:pPr>
      <w:r w:rsidRPr="001678D4">
        <w:rPr>
          <w:rFonts w:cs="Arial"/>
        </w:rPr>
        <w:t xml:space="preserve">Educated to degree level within a </w:t>
      </w:r>
      <w:r w:rsidR="002D7E26">
        <w:rPr>
          <w:rFonts w:cs="Arial"/>
        </w:rPr>
        <w:t>relevant discipline such as Building Project Management, Surveying, Engineering or Building Conservation and</w:t>
      </w:r>
      <w:r w:rsidRPr="001678D4">
        <w:rPr>
          <w:rFonts w:cs="Arial"/>
        </w:rPr>
        <w:t xml:space="preserve"> with substantial experience as a Property Project Sponsor, gained within an environment of occupied spaces. Experience of managing and maintaining historic / listed buildings would be a definite advantage.</w:t>
      </w:r>
    </w:p>
    <w:p w:rsidR="001678D4" w:rsidRPr="001678D4" w:rsidRDefault="001678D4" w:rsidP="001678D4">
      <w:pPr>
        <w:jc w:val="both"/>
        <w:rPr>
          <w:rFonts w:cs="Arial"/>
        </w:rPr>
      </w:pPr>
    </w:p>
    <w:p w:rsidR="001678D4" w:rsidRPr="001678D4" w:rsidRDefault="001678D4" w:rsidP="001678D4">
      <w:pPr>
        <w:pStyle w:val="ListParagraph"/>
        <w:numPr>
          <w:ilvl w:val="0"/>
          <w:numId w:val="21"/>
        </w:numPr>
        <w:jc w:val="both"/>
        <w:rPr>
          <w:rFonts w:cs="Arial"/>
        </w:rPr>
      </w:pPr>
      <w:r w:rsidRPr="001678D4">
        <w:rPr>
          <w:rFonts w:cs="Arial"/>
        </w:rPr>
        <w:t xml:space="preserve">To have experience of acting in a Project Sponsorship role and successful delivery, through multi-disciplined external consultant and third party teams. </w:t>
      </w:r>
    </w:p>
    <w:p w:rsidR="001678D4" w:rsidRPr="001678D4" w:rsidRDefault="001678D4" w:rsidP="001678D4">
      <w:pPr>
        <w:jc w:val="both"/>
        <w:rPr>
          <w:rFonts w:cs="Arial"/>
        </w:rPr>
      </w:pPr>
    </w:p>
    <w:p w:rsidR="001678D4" w:rsidRPr="001678D4" w:rsidRDefault="001678D4" w:rsidP="001678D4">
      <w:pPr>
        <w:pStyle w:val="ListParagraph"/>
        <w:numPr>
          <w:ilvl w:val="0"/>
          <w:numId w:val="21"/>
        </w:numPr>
        <w:jc w:val="both"/>
        <w:rPr>
          <w:rFonts w:cs="Arial"/>
        </w:rPr>
      </w:pPr>
      <w:r w:rsidRPr="001678D4">
        <w:rPr>
          <w:rFonts w:cs="Arial"/>
        </w:rPr>
        <w:t>First-rate project/programme management skills. Able to manage a varied portfolio of work, tight programmes, adapt to changing circumstances and prioritise work/resources.</w:t>
      </w:r>
    </w:p>
    <w:p w:rsidR="001678D4" w:rsidRPr="001678D4" w:rsidRDefault="001678D4" w:rsidP="001678D4">
      <w:pPr>
        <w:jc w:val="both"/>
        <w:rPr>
          <w:rFonts w:cs="Arial"/>
        </w:rPr>
      </w:pPr>
    </w:p>
    <w:p w:rsidR="001678D4" w:rsidRPr="001678D4" w:rsidRDefault="00676599" w:rsidP="001678D4">
      <w:pPr>
        <w:pStyle w:val="ListParagraph"/>
        <w:numPr>
          <w:ilvl w:val="0"/>
          <w:numId w:val="21"/>
        </w:numPr>
        <w:jc w:val="both"/>
        <w:rPr>
          <w:rFonts w:cs="Arial"/>
        </w:rPr>
      </w:pPr>
      <w:r>
        <w:rPr>
          <w:rFonts w:cs="Arial"/>
        </w:rPr>
        <w:t>E</w:t>
      </w:r>
      <w:r w:rsidR="001678D4" w:rsidRPr="001678D4">
        <w:rPr>
          <w:rFonts w:cs="Arial"/>
        </w:rPr>
        <w:t>xperience in relation to statutory compliance and risk management.</w:t>
      </w:r>
    </w:p>
    <w:p w:rsidR="001678D4" w:rsidRPr="001678D4" w:rsidRDefault="001678D4" w:rsidP="001678D4">
      <w:pPr>
        <w:jc w:val="both"/>
        <w:rPr>
          <w:rFonts w:cs="Arial"/>
        </w:rPr>
      </w:pPr>
    </w:p>
    <w:p w:rsidR="001678D4" w:rsidRDefault="001678D4" w:rsidP="001678D4">
      <w:pPr>
        <w:pStyle w:val="ListParagraph"/>
        <w:numPr>
          <w:ilvl w:val="0"/>
          <w:numId w:val="21"/>
        </w:numPr>
        <w:jc w:val="both"/>
        <w:rPr>
          <w:rFonts w:cs="Arial"/>
        </w:rPr>
      </w:pPr>
      <w:r w:rsidRPr="001678D4">
        <w:rPr>
          <w:rFonts w:cs="Arial"/>
        </w:rPr>
        <w:t xml:space="preserve">Adept at managing stakeholder relationships, </w:t>
      </w:r>
      <w:r>
        <w:rPr>
          <w:rFonts w:cs="Arial"/>
        </w:rPr>
        <w:t xml:space="preserve">with </w:t>
      </w:r>
      <w:r w:rsidRPr="001678D4">
        <w:rPr>
          <w:rFonts w:cs="Arial"/>
        </w:rPr>
        <w:t xml:space="preserve">a strong, proactive and pragmatic approach </w:t>
      </w:r>
      <w:r>
        <w:rPr>
          <w:rFonts w:cs="Arial"/>
        </w:rPr>
        <w:t>and</w:t>
      </w:r>
      <w:r w:rsidRPr="001678D4">
        <w:rPr>
          <w:rFonts w:cs="Arial"/>
        </w:rPr>
        <w:t xml:space="preserve"> natural interpersonal skills </w:t>
      </w:r>
      <w:r>
        <w:rPr>
          <w:rFonts w:cs="Arial"/>
        </w:rPr>
        <w:t>whilst having the</w:t>
      </w:r>
      <w:r w:rsidRPr="001678D4">
        <w:rPr>
          <w:rFonts w:cs="Arial"/>
        </w:rPr>
        <w:t xml:space="preserve"> ability to influenc</w:t>
      </w:r>
      <w:r>
        <w:rPr>
          <w:rFonts w:cs="Arial"/>
        </w:rPr>
        <w:t>e at all levels.</w:t>
      </w:r>
    </w:p>
    <w:p w:rsidR="001678D4" w:rsidRPr="001678D4" w:rsidRDefault="001678D4" w:rsidP="001678D4">
      <w:pPr>
        <w:pStyle w:val="ListParagraph"/>
        <w:jc w:val="both"/>
        <w:rPr>
          <w:rFonts w:cs="Arial"/>
        </w:rPr>
      </w:pPr>
    </w:p>
    <w:p w:rsidR="001678D4" w:rsidRPr="001678D4" w:rsidRDefault="00676599" w:rsidP="001678D4">
      <w:pPr>
        <w:pStyle w:val="ListParagraph"/>
        <w:numPr>
          <w:ilvl w:val="0"/>
          <w:numId w:val="21"/>
        </w:numPr>
        <w:jc w:val="both"/>
        <w:rPr>
          <w:rFonts w:cs="Arial"/>
        </w:rPr>
      </w:pPr>
      <w:r>
        <w:rPr>
          <w:rFonts w:cs="Arial"/>
        </w:rPr>
        <w:t>Experience in leading and</w:t>
      </w:r>
      <w:r w:rsidR="001678D4">
        <w:rPr>
          <w:rFonts w:cs="Arial"/>
        </w:rPr>
        <w:t xml:space="preserve"> managing large scale projects to a successful outcome, motivating delivery through others.</w:t>
      </w:r>
    </w:p>
    <w:p w:rsidR="001678D4" w:rsidRPr="001678D4" w:rsidRDefault="001678D4" w:rsidP="001678D4">
      <w:pPr>
        <w:jc w:val="both"/>
        <w:rPr>
          <w:rFonts w:cs="Arial"/>
        </w:rPr>
      </w:pPr>
    </w:p>
    <w:p w:rsidR="001678D4" w:rsidRPr="001678D4" w:rsidRDefault="001678D4" w:rsidP="001678D4">
      <w:pPr>
        <w:pStyle w:val="ListParagraph"/>
        <w:numPr>
          <w:ilvl w:val="0"/>
          <w:numId w:val="21"/>
        </w:numPr>
        <w:jc w:val="both"/>
        <w:rPr>
          <w:rFonts w:cs="Arial"/>
        </w:rPr>
      </w:pPr>
      <w:r w:rsidRPr="001678D4">
        <w:rPr>
          <w:rFonts w:cs="Arial"/>
        </w:rPr>
        <w:t>The ability to work collaboratively with colleagues across functional and geographical boundaries, where flexibility and a ‘can do’ approach to teamwork is essential.</w:t>
      </w:r>
    </w:p>
    <w:p w:rsidR="001678D4" w:rsidRPr="001678D4" w:rsidRDefault="001678D4" w:rsidP="001678D4">
      <w:pPr>
        <w:jc w:val="both"/>
        <w:rPr>
          <w:rFonts w:cs="Arial"/>
        </w:rPr>
      </w:pPr>
    </w:p>
    <w:p w:rsidR="001678D4" w:rsidRPr="001678D4" w:rsidRDefault="001678D4" w:rsidP="001678D4">
      <w:pPr>
        <w:pStyle w:val="ListParagraph"/>
        <w:numPr>
          <w:ilvl w:val="0"/>
          <w:numId w:val="21"/>
        </w:numPr>
        <w:jc w:val="both"/>
        <w:rPr>
          <w:rFonts w:cs="Arial"/>
        </w:rPr>
      </w:pPr>
      <w:r w:rsidRPr="001678D4">
        <w:rPr>
          <w:rFonts w:cs="Arial"/>
        </w:rPr>
        <w:t xml:space="preserve">Extensive experience of budget &amp; contingency management, cost control and contract management, within a strong governance framework. </w:t>
      </w:r>
    </w:p>
    <w:p w:rsidR="001678D4" w:rsidRPr="001678D4" w:rsidRDefault="001678D4" w:rsidP="001678D4">
      <w:pPr>
        <w:jc w:val="both"/>
        <w:rPr>
          <w:rFonts w:cs="Arial"/>
        </w:rPr>
      </w:pPr>
    </w:p>
    <w:p w:rsidR="001678D4" w:rsidRPr="001678D4" w:rsidRDefault="001678D4" w:rsidP="001678D4">
      <w:pPr>
        <w:pStyle w:val="ListParagraph"/>
        <w:numPr>
          <w:ilvl w:val="0"/>
          <w:numId w:val="21"/>
        </w:numPr>
        <w:jc w:val="both"/>
        <w:rPr>
          <w:rFonts w:cs="Arial"/>
        </w:rPr>
      </w:pPr>
      <w:r w:rsidRPr="001678D4">
        <w:rPr>
          <w:rFonts w:cs="Arial"/>
        </w:rPr>
        <w:t xml:space="preserve">Demonstrate knowledge and practical experience of property related procurement, utilising a range of different tendering and contract procedures. </w:t>
      </w:r>
    </w:p>
    <w:p w:rsidR="001678D4" w:rsidRPr="001678D4" w:rsidRDefault="001678D4" w:rsidP="001678D4">
      <w:pPr>
        <w:jc w:val="both"/>
        <w:rPr>
          <w:rFonts w:cs="Arial"/>
        </w:rPr>
      </w:pPr>
    </w:p>
    <w:p w:rsidR="001678D4" w:rsidRPr="001678D4" w:rsidRDefault="001678D4" w:rsidP="001678D4">
      <w:pPr>
        <w:pStyle w:val="ListParagraph"/>
        <w:numPr>
          <w:ilvl w:val="0"/>
          <w:numId w:val="21"/>
        </w:numPr>
        <w:jc w:val="both"/>
        <w:rPr>
          <w:rFonts w:cs="Arial"/>
        </w:rPr>
      </w:pPr>
      <w:r w:rsidRPr="001678D4">
        <w:rPr>
          <w:rFonts w:cs="Arial"/>
        </w:rPr>
        <w:t>A logical problem solver with good judgement and decision making capability. Able to remain level-headed under pressure.</w:t>
      </w:r>
    </w:p>
    <w:p w:rsidR="001678D4" w:rsidRPr="001678D4" w:rsidRDefault="001678D4" w:rsidP="001678D4">
      <w:pPr>
        <w:jc w:val="both"/>
        <w:rPr>
          <w:rFonts w:cs="Arial"/>
        </w:rPr>
      </w:pPr>
    </w:p>
    <w:p w:rsidR="001678D4" w:rsidRPr="001678D4" w:rsidRDefault="001678D4" w:rsidP="001678D4">
      <w:pPr>
        <w:pStyle w:val="ListParagraph"/>
        <w:numPr>
          <w:ilvl w:val="0"/>
          <w:numId w:val="21"/>
        </w:numPr>
        <w:jc w:val="both"/>
        <w:rPr>
          <w:rFonts w:cs="Arial"/>
        </w:rPr>
      </w:pPr>
      <w:r w:rsidRPr="001678D4">
        <w:rPr>
          <w:rFonts w:cs="Arial"/>
        </w:rPr>
        <w:t>Genuinely passionate about and familiar with a customer-driven approach to the delivery of property services, with a rigorous approach to standards of internal customer service and continuous improvement.</w:t>
      </w:r>
    </w:p>
    <w:p w:rsidR="001678D4" w:rsidRPr="001678D4" w:rsidRDefault="001678D4" w:rsidP="001678D4">
      <w:pPr>
        <w:jc w:val="both"/>
        <w:rPr>
          <w:rFonts w:cs="Arial"/>
        </w:rPr>
      </w:pPr>
    </w:p>
    <w:p w:rsidR="00275FE7" w:rsidRPr="00B85587" w:rsidRDefault="001678D4" w:rsidP="001678D4">
      <w:pPr>
        <w:pStyle w:val="ListParagraph"/>
        <w:numPr>
          <w:ilvl w:val="0"/>
          <w:numId w:val="21"/>
        </w:numPr>
        <w:jc w:val="both"/>
      </w:pPr>
      <w:r w:rsidRPr="001678D4">
        <w:rPr>
          <w:rFonts w:cs="Arial"/>
        </w:rPr>
        <w:t xml:space="preserve">IT literate with a good working knowledge of MS Office and programme management software. </w:t>
      </w:r>
    </w:p>
    <w:sectPr w:rsidR="00275FE7" w:rsidRPr="00B85587" w:rsidSect="00F502B9">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9" w:footer="709" w:gutter="0"/>
      <w:paperSrc w:first="263" w:other="2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D3" w:rsidRDefault="007C3FD3">
      <w:r>
        <w:separator/>
      </w:r>
    </w:p>
  </w:endnote>
  <w:endnote w:type="continuationSeparator" w:id="0">
    <w:p w:rsidR="007C3FD3" w:rsidRDefault="007C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D3" w:rsidRDefault="007C3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D3" w:rsidRPr="00EB5651" w:rsidRDefault="007C3FD3" w:rsidP="00EB5651">
    <w:pPr>
      <w:jc w:val="center"/>
      <w:rPr>
        <w:color w:val="42214A"/>
        <w:sz w:val="20"/>
        <w:szCs w:val="20"/>
      </w:rPr>
    </w:pPr>
    <w:r w:rsidRPr="00EB5651">
      <w:rPr>
        <w:color w:val="42214A"/>
        <w:sz w:val="20"/>
        <w:szCs w:val="20"/>
      </w:rPr>
      <w:t>This document is not contractual and may be subject to change following consultation with the post-holder</w:t>
    </w:r>
    <w:r>
      <w:rPr>
        <w:color w:val="42214A"/>
        <w:sz w:val="20"/>
        <w:szCs w:val="20"/>
      </w:rPr>
      <w:t>.</w:t>
    </w:r>
  </w:p>
  <w:p w:rsidR="007C3FD3" w:rsidRDefault="007C3FD3">
    <w:pPr>
      <w:pStyle w:val="Footer"/>
    </w:pPr>
  </w:p>
  <w:p w:rsidR="007C3FD3" w:rsidRDefault="007C3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D3" w:rsidRDefault="007C3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D3" w:rsidRDefault="007C3FD3">
      <w:r>
        <w:separator/>
      </w:r>
    </w:p>
  </w:footnote>
  <w:footnote w:type="continuationSeparator" w:id="0">
    <w:p w:rsidR="007C3FD3" w:rsidRDefault="007C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D3" w:rsidRDefault="007C3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D3" w:rsidRPr="00F502B9" w:rsidRDefault="007C3FD3" w:rsidP="00F502B9">
    <w:pPr>
      <w:pStyle w:val="Header"/>
      <w:jc w:val="right"/>
      <w:rPr>
        <w:sz w:val="32"/>
        <w:szCs w:val="32"/>
      </w:rPr>
    </w:pPr>
    <w:r>
      <w:rPr>
        <w:noProof/>
      </w:rPr>
      <w:drawing>
        <wp:anchor distT="0" distB="0" distL="114300" distR="114300" simplePos="0" relativeHeight="251658240" behindDoc="0" locked="0" layoutInCell="1" allowOverlap="1" wp14:anchorId="63CB1F60" wp14:editId="027F9FDD">
          <wp:simplePos x="0" y="0"/>
          <wp:positionH relativeFrom="column">
            <wp:posOffset>-61547</wp:posOffset>
          </wp:positionH>
          <wp:positionV relativeFrom="paragraph">
            <wp:posOffset>-190500</wp:posOffset>
          </wp:positionV>
          <wp:extent cx="446440" cy="4230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46440" cy="423081"/>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rsidRPr="00F502B9">
      <w:t xml:space="preserve">   </w:t>
    </w:r>
    <w:r w:rsidRPr="00F502B9">
      <w:rPr>
        <w:sz w:val="32"/>
        <w:szCs w:val="32"/>
      </w:rPr>
      <w:t>The Royal Household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D3" w:rsidRDefault="007C3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6EA"/>
    <w:multiLevelType w:val="hybridMultilevel"/>
    <w:tmpl w:val="1804C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70582"/>
    <w:multiLevelType w:val="hybridMultilevel"/>
    <w:tmpl w:val="FABA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43C0F"/>
    <w:multiLevelType w:val="hybridMultilevel"/>
    <w:tmpl w:val="A7C271F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2E3E8B"/>
    <w:multiLevelType w:val="hybridMultilevel"/>
    <w:tmpl w:val="127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7302B3"/>
    <w:multiLevelType w:val="hybridMultilevel"/>
    <w:tmpl w:val="59CC7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17E14"/>
    <w:multiLevelType w:val="hybridMultilevel"/>
    <w:tmpl w:val="4AD2AA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0F836BB"/>
    <w:multiLevelType w:val="hybridMultilevel"/>
    <w:tmpl w:val="CFF8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B41BFE"/>
    <w:multiLevelType w:val="hybridMultilevel"/>
    <w:tmpl w:val="CEF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6A74D1"/>
    <w:multiLevelType w:val="hybridMultilevel"/>
    <w:tmpl w:val="E626D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9D2167"/>
    <w:multiLevelType w:val="hybridMultilevel"/>
    <w:tmpl w:val="52B0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C9635B"/>
    <w:multiLevelType w:val="hybridMultilevel"/>
    <w:tmpl w:val="CC9A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137E7A"/>
    <w:multiLevelType w:val="hybridMultilevel"/>
    <w:tmpl w:val="A068665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7C8D7548"/>
    <w:multiLevelType w:val="hybridMultilevel"/>
    <w:tmpl w:val="69763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8"/>
  </w:num>
  <w:num w:numId="5">
    <w:abstractNumId w:val="9"/>
  </w:num>
  <w:num w:numId="6">
    <w:abstractNumId w:val="20"/>
  </w:num>
  <w:num w:numId="7">
    <w:abstractNumId w:val="24"/>
  </w:num>
  <w:num w:numId="8">
    <w:abstractNumId w:val="19"/>
  </w:num>
  <w:num w:numId="9">
    <w:abstractNumId w:val="17"/>
  </w:num>
  <w:num w:numId="10">
    <w:abstractNumId w:val="3"/>
  </w:num>
  <w:num w:numId="11">
    <w:abstractNumId w:val="21"/>
  </w:num>
  <w:num w:numId="12">
    <w:abstractNumId w:val="6"/>
  </w:num>
  <w:num w:numId="13">
    <w:abstractNumId w:val="2"/>
  </w:num>
  <w:num w:numId="14">
    <w:abstractNumId w:val="1"/>
  </w:num>
  <w:num w:numId="15">
    <w:abstractNumId w:val="5"/>
  </w:num>
  <w:num w:numId="16">
    <w:abstractNumId w:val="8"/>
  </w:num>
  <w:num w:numId="17">
    <w:abstractNumId w:val="22"/>
  </w:num>
  <w:num w:numId="18">
    <w:abstractNumId w:val="23"/>
  </w:num>
  <w:num w:numId="19">
    <w:abstractNumId w:val="12"/>
  </w:num>
  <w:num w:numId="20">
    <w:abstractNumId w:val="0"/>
  </w:num>
  <w:num w:numId="21">
    <w:abstractNumId w:val="14"/>
  </w:num>
  <w:num w:numId="22">
    <w:abstractNumId w:val="13"/>
  </w:num>
  <w:num w:numId="23">
    <w:abstractNumId w:val="10"/>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ru v:ext="edit" colors="#c8cb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B4"/>
    <w:rsid w:val="000147FD"/>
    <w:rsid w:val="000422D3"/>
    <w:rsid w:val="000448B6"/>
    <w:rsid w:val="00082518"/>
    <w:rsid w:val="000A33F5"/>
    <w:rsid w:val="00140A6D"/>
    <w:rsid w:val="0015088D"/>
    <w:rsid w:val="001678D4"/>
    <w:rsid w:val="00265B19"/>
    <w:rsid w:val="00272C8B"/>
    <w:rsid w:val="00272FDF"/>
    <w:rsid w:val="00275FE7"/>
    <w:rsid w:val="0028086D"/>
    <w:rsid w:val="00283953"/>
    <w:rsid w:val="00297C30"/>
    <w:rsid w:val="002D7E26"/>
    <w:rsid w:val="0031087E"/>
    <w:rsid w:val="00335497"/>
    <w:rsid w:val="0034106E"/>
    <w:rsid w:val="003425B4"/>
    <w:rsid w:val="00342B37"/>
    <w:rsid w:val="00351CD4"/>
    <w:rsid w:val="003545D9"/>
    <w:rsid w:val="003573F3"/>
    <w:rsid w:val="00367D25"/>
    <w:rsid w:val="00373288"/>
    <w:rsid w:val="00387AD5"/>
    <w:rsid w:val="003C3B1C"/>
    <w:rsid w:val="00402835"/>
    <w:rsid w:val="0041112F"/>
    <w:rsid w:val="004A3068"/>
    <w:rsid w:val="004F214F"/>
    <w:rsid w:val="004F6E7E"/>
    <w:rsid w:val="0051652F"/>
    <w:rsid w:val="0052488E"/>
    <w:rsid w:val="00557586"/>
    <w:rsid w:val="005634B6"/>
    <w:rsid w:val="005F628A"/>
    <w:rsid w:val="005F7199"/>
    <w:rsid w:val="00676599"/>
    <w:rsid w:val="0069770D"/>
    <w:rsid w:val="006A4C0A"/>
    <w:rsid w:val="006A5EB6"/>
    <w:rsid w:val="006B46E8"/>
    <w:rsid w:val="006C2372"/>
    <w:rsid w:val="00713D30"/>
    <w:rsid w:val="00715503"/>
    <w:rsid w:val="00726D4E"/>
    <w:rsid w:val="0075305F"/>
    <w:rsid w:val="00780FC4"/>
    <w:rsid w:val="007839FB"/>
    <w:rsid w:val="0079093C"/>
    <w:rsid w:val="007A2F3A"/>
    <w:rsid w:val="007B5876"/>
    <w:rsid w:val="007C3FD3"/>
    <w:rsid w:val="007E2A05"/>
    <w:rsid w:val="007E4852"/>
    <w:rsid w:val="00804172"/>
    <w:rsid w:val="0081057D"/>
    <w:rsid w:val="008407DC"/>
    <w:rsid w:val="008B6458"/>
    <w:rsid w:val="008C270A"/>
    <w:rsid w:val="008D2C8B"/>
    <w:rsid w:val="008F4288"/>
    <w:rsid w:val="00910F49"/>
    <w:rsid w:val="00962C83"/>
    <w:rsid w:val="00A03310"/>
    <w:rsid w:val="00A141F2"/>
    <w:rsid w:val="00A41DB4"/>
    <w:rsid w:val="00A93ECB"/>
    <w:rsid w:val="00B368BC"/>
    <w:rsid w:val="00B85587"/>
    <w:rsid w:val="00B91BAB"/>
    <w:rsid w:val="00BD3511"/>
    <w:rsid w:val="00BD6966"/>
    <w:rsid w:val="00C25F65"/>
    <w:rsid w:val="00C623D8"/>
    <w:rsid w:val="00C85560"/>
    <w:rsid w:val="00C977F8"/>
    <w:rsid w:val="00D332C0"/>
    <w:rsid w:val="00D71D47"/>
    <w:rsid w:val="00D91950"/>
    <w:rsid w:val="00DC302A"/>
    <w:rsid w:val="00DC427C"/>
    <w:rsid w:val="00E33CD6"/>
    <w:rsid w:val="00E3768A"/>
    <w:rsid w:val="00E53204"/>
    <w:rsid w:val="00E60EAA"/>
    <w:rsid w:val="00E6743D"/>
    <w:rsid w:val="00E919F0"/>
    <w:rsid w:val="00EB5651"/>
    <w:rsid w:val="00EE40E6"/>
    <w:rsid w:val="00EF2950"/>
    <w:rsid w:val="00F502B9"/>
    <w:rsid w:val="00F8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c8cb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color w:val="4E585D"/>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uiPriority w:val="99"/>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style>
  <w:style w:type="paragraph" w:customStyle="1" w:styleId="Heading33">
    <w:name w:val="Heading 33"/>
    <w:basedOn w:val="Normal"/>
    <w:rsid w:val="0051652F"/>
    <w:pPr>
      <w:spacing w:before="100" w:beforeAutospacing="1" w:after="75"/>
      <w:outlineLvl w:val="3"/>
    </w:pPr>
    <w:rPr>
      <w:rFonts w:ascii="Arial" w:hAnsi="Arial" w:cs="Arial"/>
      <w:b/>
      <w:bCs/>
      <w:sz w:val="18"/>
      <w:szCs w:val="18"/>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8407DC"/>
    <w:rPr>
      <w:color w:val="1F6D78" w:themeColor="hyperlink"/>
      <w:u w:val="single"/>
    </w:rPr>
  </w:style>
  <w:style w:type="character" w:styleId="FollowedHyperlink">
    <w:name w:val="FollowedHyperlink"/>
    <w:basedOn w:val="DefaultParagraphFont"/>
    <w:rsid w:val="00B91BAB"/>
    <w:rPr>
      <w:color w:val="692851" w:themeColor="followedHyperlink"/>
      <w:u w:val="single"/>
    </w:rPr>
  </w:style>
  <w:style w:type="character" w:styleId="CommentReference">
    <w:name w:val="annotation reference"/>
    <w:basedOn w:val="DefaultParagraphFont"/>
    <w:rsid w:val="00DC427C"/>
    <w:rPr>
      <w:sz w:val="16"/>
      <w:szCs w:val="16"/>
    </w:rPr>
  </w:style>
  <w:style w:type="paragraph" w:styleId="CommentText">
    <w:name w:val="annotation text"/>
    <w:basedOn w:val="Normal"/>
    <w:link w:val="CommentTextChar"/>
    <w:rsid w:val="00DC427C"/>
    <w:rPr>
      <w:sz w:val="20"/>
      <w:szCs w:val="20"/>
    </w:rPr>
  </w:style>
  <w:style w:type="character" w:customStyle="1" w:styleId="CommentTextChar">
    <w:name w:val="Comment Text Char"/>
    <w:basedOn w:val="DefaultParagraphFont"/>
    <w:link w:val="CommentText"/>
    <w:rsid w:val="00DC427C"/>
    <w:rPr>
      <w:lang w:eastAsia="en-US"/>
    </w:rPr>
  </w:style>
  <w:style w:type="paragraph" w:styleId="CommentSubject">
    <w:name w:val="annotation subject"/>
    <w:basedOn w:val="CommentText"/>
    <w:next w:val="CommentText"/>
    <w:link w:val="CommentSubjectChar"/>
    <w:rsid w:val="00DC427C"/>
    <w:rPr>
      <w:b/>
      <w:bCs/>
    </w:rPr>
  </w:style>
  <w:style w:type="character" w:customStyle="1" w:styleId="CommentSubjectChar">
    <w:name w:val="Comment Subject Char"/>
    <w:basedOn w:val="CommentTextChar"/>
    <w:link w:val="CommentSubject"/>
    <w:rsid w:val="00DC427C"/>
    <w:rPr>
      <w:b/>
      <w:bCs/>
      <w:lang w:eastAsia="en-US"/>
    </w:rPr>
  </w:style>
  <w:style w:type="character" w:customStyle="1" w:styleId="A6">
    <w:name w:val="A6"/>
    <w:rsid w:val="006B46E8"/>
    <w:rPr>
      <w:rFonts w:cs="Sabo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color w:val="4E585D"/>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uiPriority w:val="99"/>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style>
  <w:style w:type="paragraph" w:customStyle="1" w:styleId="Heading33">
    <w:name w:val="Heading 33"/>
    <w:basedOn w:val="Normal"/>
    <w:rsid w:val="0051652F"/>
    <w:pPr>
      <w:spacing w:before="100" w:beforeAutospacing="1" w:after="75"/>
      <w:outlineLvl w:val="3"/>
    </w:pPr>
    <w:rPr>
      <w:rFonts w:ascii="Arial" w:hAnsi="Arial" w:cs="Arial"/>
      <w:b/>
      <w:bCs/>
      <w:sz w:val="18"/>
      <w:szCs w:val="18"/>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8407DC"/>
    <w:rPr>
      <w:color w:val="1F6D78" w:themeColor="hyperlink"/>
      <w:u w:val="single"/>
    </w:rPr>
  </w:style>
  <w:style w:type="character" w:styleId="FollowedHyperlink">
    <w:name w:val="FollowedHyperlink"/>
    <w:basedOn w:val="DefaultParagraphFont"/>
    <w:rsid w:val="00B91BAB"/>
    <w:rPr>
      <w:color w:val="692851" w:themeColor="followedHyperlink"/>
      <w:u w:val="single"/>
    </w:rPr>
  </w:style>
  <w:style w:type="character" w:styleId="CommentReference">
    <w:name w:val="annotation reference"/>
    <w:basedOn w:val="DefaultParagraphFont"/>
    <w:rsid w:val="00DC427C"/>
    <w:rPr>
      <w:sz w:val="16"/>
      <w:szCs w:val="16"/>
    </w:rPr>
  </w:style>
  <w:style w:type="paragraph" w:styleId="CommentText">
    <w:name w:val="annotation text"/>
    <w:basedOn w:val="Normal"/>
    <w:link w:val="CommentTextChar"/>
    <w:rsid w:val="00DC427C"/>
    <w:rPr>
      <w:sz w:val="20"/>
      <w:szCs w:val="20"/>
    </w:rPr>
  </w:style>
  <w:style w:type="character" w:customStyle="1" w:styleId="CommentTextChar">
    <w:name w:val="Comment Text Char"/>
    <w:basedOn w:val="DefaultParagraphFont"/>
    <w:link w:val="CommentText"/>
    <w:rsid w:val="00DC427C"/>
    <w:rPr>
      <w:lang w:eastAsia="en-US"/>
    </w:rPr>
  </w:style>
  <w:style w:type="paragraph" w:styleId="CommentSubject">
    <w:name w:val="annotation subject"/>
    <w:basedOn w:val="CommentText"/>
    <w:next w:val="CommentText"/>
    <w:link w:val="CommentSubjectChar"/>
    <w:rsid w:val="00DC427C"/>
    <w:rPr>
      <w:b/>
      <w:bCs/>
    </w:rPr>
  </w:style>
  <w:style w:type="character" w:customStyle="1" w:styleId="CommentSubjectChar">
    <w:name w:val="Comment Subject Char"/>
    <w:basedOn w:val="CommentTextChar"/>
    <w:link w:val="CommentSubject"/>
    <w:rsid w:val="00DC427C"/>
    <w:rPr>
      <w:b/>
      <w:bCs/>
      <w:lang w:eastAsia="en-US"/>
    </w:rPr>
  </w:style>
  <w:style w:type="character" w:customStyle="1" w:styleId="A6">
    <w:name w:val="A6"/>
    <w:rsid w:val="006B46E8"/>
    <w:rPr>
      <w:rFonts w:cs="Sabo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AAC876-8C1E-4114-87A4-F541C2E6F96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6F36DD9-8343-4643-B5E7-0C551840AB91}">
      <dgm:prSet phldrT="[Text]" custT="1"/>
      <dgm:spPr>
        <a:solidFill>
          <a:srgbClr val="42214A"/>
        </a:solidFill>
        <a:ln>
          <a:noFill/>
        </a:ln>
      </dgm:spPr>
      <dgm:t>
        <a:bodyPr/>
        <a:lstStyle/>
        <a:p>
          <a:pPr algn="ctr"/>
          <a:r>
            <a:rPr lang="en-GB" sz="1400" b="1">
              <a:solidFill>
                <a:srgbClr val="EBE5CC"/>
              </a:solidFill>
              <a:latin typeface="Gill Sans MT" panose="020B0502020104020203" pitchFamily="34" charset="0"/>
            </a:rPr>
            <a:t>Director of Property</a:t>
          </a:r>
        </a:p>
      </dgm:t>
    </dgm:pt>
    <dgm:pt modelId="{3B3DD238-308B-4EC1-B3FA-8B08EAA4603A}" type="parTrans" cxnId="{132C0E6E-5EF5-4BAF-BCA1-2D7126794C17}">
      <dgm:prSet/>
      <dgm:spPr/>
      <dgm:t>
        <a:bodyPr/>
        <a:lstStyle/>
        <a:p>
          <a:pPr algn="ctr"/>
          <a:endParaRPr lang="en-GB" sz="1400" b="1">
            <a:solidFill>
              <a:srgbClr val="EBE5CC"/>
            </a:solidFill>
            <a:latin typeface="Gill Sans MT" panose="020B0502020104020203" pitchFamily="34" charset="0"/>
          </a:endParaRPr>
        </a:p>
      </dgm:t>
    </dgm:pt>
    <dgm:pt modelId="{25A4284D-E767-436D-996B-D0D08671954E}" type="sibTrans" cxnId="{132C0E6E-5EF5-4BAF-BCA1-2D7126794C17}">
      <dgm:prSet/>
      <dgm:spPr/>
      <dgm:t>
        <a:bodyPr/>
        <a:lstStyle/>
        <a:p>
          <a:pPr algn="ctr"/>
          <a:endParaRPr lang="en-GB" sz="1400" b="1">
            <a:solidFill>
              <a:srgbClr val="EBE5CC"/>
            </a:solidFill>
            <a:latin typeface="Gill Sans MT" panose="020B0502020104020203" pitchFamily="34" charset="0"/>
          </a:endParaRPr>
        </a:p>
      </dgm:t>
    </dgm:pt>
    <dgm:pt modelId="{D1CE379E-9AF8-46AA-9274-961305E7F858}">
      <dgm:prSet custT="1"/>
      <dgm:spPr>
        <a:solidFill>
          <a:srgbClr val="42214A"/>
        </a:solidFill>
        <a:ln>
          <a:noFill/>
        </a:ln>
      </dgm:spPr>
      <dgm:t>
        <a:bodyPr/>
        <a:lstStyle/>
        <a:p>
          <a:pPr algn="ctr"/>
          <a:r>
            <a:rPr lang="en-GB" sz="1400" b="1">
              <a:solidFill>
                <a:srgbClr val="EBE5CC"/>
              </a:solidFill>
              <a:latin typeface="Gill Sans MT" panose="020B0502020104020203" pitchFamily="34" charset="0"/>
            </a:rPr>
            <a:t>Project Sponsor</a:t>
          </a:r>
        </a:p>
      </dgm:t>
    </dgm:pt>
    <dgm:pt modelId="{D34FE21C-4405-4959-AF19-4109609F4EDA}" type="parTrans" cxnId="{263BC355-B037-45DB-A7BC-FDBBEB36BC37}">
      <dgm:prSet/>
      <dgm:spPr/>
      <dgm:t>
        <a:bodyPr/>
        <a:lstStyle/>
        <a:p>
          <a:pPr algn="ctr"/>
          <a:endParaRPr lang="en-GB" sz="1400" b="1">
            <a:solidFill>
              <a:srgbClr val="EBE5CC"/>
            </a:solidFill>
            <a:latin typeface="Gill Sans MT" panose="020B0502020104020203" pitchFamily="34" charset="0"/>
          </a:endParaRPr>
        </a:p>
      </dgm:t>
    </dgm:pt>
    <dgm:pt modelId="{5306F07D-5A47-468F-BA4D-50F730403285}" type="sibTrans" cxnId="{263BC355-B037-45DB-A7BC-FDBBEB36BC37}">
      <dgm:prSet/>
      <dgm:spPr/>
      <dgm:t>
        <a:bodyPr/>
        <a:lstStyle/>
        <a:p>
          <a:pPr algn="ctr"/>
          <a:endParaRPr lang="en-GB" sz="1400" b="1">
            <a:solidFill>
              <a:srgbClr val="EBE5CC"/>
            </a:solidFill>
            <a:latin typeface="Gill Sans MT" panose="020B0502020104020203" pitchFamily="34" charset="0"/>
          </a:endParaRPr>
        </a:p>
      </dgm:t>
    </dgm:pt>
    <dgm:pt modelId="{4FAB621E-7E58-4922-BA93-A4B74FCE1C54}">
      <dgm:prSet phldrT="[Text]" custT="1"/>
      <dgm:spPr>
        <a:solidFill>
          <a:srgbClr val="42214A"/>
        </a:solidFill>
        <a:ln>
          <a:noFill/>
        </a:ln>
      </dgm:spPr>
      <dgm:t>
        <a:bodyPr/>
        <a:lstStyle/>
        <a:p>
          <a:pPr algn="ctr"/>
          <a:r>
            <a:rPr lang="en-GB" sz="1200" b="1">
              <a:solidFill>
                <a:srgbClr val="EBE5CC"/>
              </a:solidFill>
              <a:latin typeface="Gill Sans MT" panose="020B0502020104020203" pitchFamily="34" charset="0"/>
            </a:rPr>
            <a:t>Head</a:t>
          </a:r>
          <a:r>
            <a:rPr lang="en-GB" sz="1400" b="1">
              <a:solidFill>
                <a:srgbClr val="EBE5CC"/>
              </a:solidFill>
              <a:latin typeface="Gill Sans MT" panose="020B0502020104020203" pitchFamily="34" charset="0"/>
            </a:rPr>
            <a:t> </a:t>
          </a:r>
          <a:r>
            <a:rPr lang="en-GB" sz="1200" b="1">
              <a:solidFill>
                <a:srgbClr val="EBE5CC"/>
              </a:solidFill>
              <a:latin typeface="Gill Sans MT" panose="020B0502020104020203" pitchFamily="34" charset="0"/>
            </a:rPr>
            <a:t>of</a:t>
          </a:r>
          <a:r>
            <a:rPr lang="en-GB" sz="1400" b="1">
              <a:solidFill>
                <a:srgbClr val="EBE5CC"/>
              </a:solidFill>
              <a:latin typeface="Gill Sans MT" panose="020B0502020104020203" pitchFamily="34" charset="0"/>
            </a:rPr>
            <a:t> </a:t>
          </a:r>
          <a:r>
            <a:rPr lang="en-GB" sz="1200" b="1">
              <a:solidFill>
                <a:srgbClr val="EBE5CC"/>
              </a:solidFill>
              <a:latin typeface="Gill Sans MT" panose="020B0502020104020203" pitchFamily="34" charset="0"/>
            </a:rPr>
            <a:t>Projects</a:t>
          </a:r>
          <a:endParaRPr lang="en-GB" sz="1400" b="1">
            <a:solidFill>
              <a:srgbClr val="EBE5CC"/>
            </a:solidFill>
            <a:latin typeface="Gill Sans MT" panose="020B0502020104020203" pitchFamily="34" charset="0"/>
          </a:endParaRPr>
        </a:p>
      </dgm:t>
    </dgm:pt>
    <dgm:pt modelId="{1649F181-239A-413F-8BFF-4DAC8792FE20}" type="sibTrans" cxnId="{4CA53697-F659-4055-9D77-4A5BA43AE3B7}">
      <dgm:prSet/>
      <dgm:spPr/>
      <dgm:t>
        <a:bodyPr/>
        <a:lstStyle/>
        <a:p>
          <a:pPr algn="ctr"/>
          <a:endParaRPr lang="en-GB" sz="1400" b="1">
            <a:solidFill>
              <a:srgbClr val="EBE5CC"/>
            </a:solidFill>
            <a:latin typeface="Gill Sans MT" panose="020B0502020104020203" pitchFamily="34" charset="0"/>
          </a:endParaRPr>
        </a:p>
      </dgm:t>
    </dgm:pt>
    <dgm:pt modelId="{CAA2E78E-8046-46C8-A9C8-58F2F192F3BB}" type="parTrans" cxnId="{4CA53697-F659-4055-9D77-4A5BA43AE3B7}">
      <dgm:prSet/>
      <dgm:spPr/>
      <dgm:t>
        <a:bodyPr/>
        <a:lstStyle/>
        <a:p>
          <a:pPr algn="ctr"/>
          <a:endParaRPr lang="en-GB" sz="1400" b="1">
            <a:solidFill>
              <a:srgbClr val="EBE5CC"/>
            </a:solidFill>
            <a:latin typeface="Gill Sans MT" panose="020B0502020104020203" pitchFamily="34" charset="0"/>
          </a:endParaRPr>
        </a:p>
      </dgm:t>
    </dgm:pt>
    <dgm:pt modelId="{6A48082C-835F-40B9-83AE-669ED6EDE255}" type="pres">
      <dgm:prSet presAssocID="{49AAC876-8C1E-4114-87A4-F541C2E6F964}" presName="hierChild1" presStyleCnt="0">
        <dgm:presLayoutVars>
          <dgm:orgChart val="1"/>
          <dgm:chPref val="1"/>
          <dgm:dir/>
          <dgm:animOne val="branch"/>
          <dgm:animLvl val="lvl"/>
          <dgm:resizeHandles/>
        </dgm:presLayoutVars>
      </dgm:prSet>
      <dgm:spPr/>
      <dgm:t>
        <a:bodyPr/>
        <a:lstStyle/>
        <a:p>
          <a:endParaRPr lang="en-GB"/>
        </a:p>
      </dgm:t>
    </dgm:pt>
    <dgm:pt modelId="{6115EAEC-F11C-4716-812F-D4593FB60E63}" type="pres">
      <dgm:prSet presAssocID="{96F36DD9-8343-4643-B5E7-0C551840AB91}" presName="hierRoot1" presStyleCnt="0">
        <dgm:presLayoutVars>
          <dgm:hierBranch val="init"/>
        </dgm:presLayoutVars>
      </dgm:prSet>
      <dgm:spPr/>
    </dgm:pt>
    <dgm:pt modelId="{F4EFC911-0EC4-48C0-B3E5-ABD3AAC16413}" type="pres">
      <dgm:prSet presAssocID="{96F36DD9-8343-4643-B5E7-0C551840AB91}" presName="rootComposite1" presStyleCnt="0"/>
      <dgm:spPr/>
    </dgm:pt>
    <dgm:pt modelId="{CB2363E8-1D1D-4906-93BB-3B5FDC2EF5DA}" type="pres">
      <dgm:prSet presAssocID="{96F36DD9-8343-4643-B5E7-0C551840AB91}" presName="rootText1" presStyleLbl="node0" presStyleIdx="0" presStyleCnt="1">
        <dgm:presLayoutVars>
          <dgm:chPref val="3"/>
        </dgm:presLayoutVars>
      </dgm:prSet>
      <dgm:spPr/>
      <dgm:t>
        <a:bodyPr/>
        <a:lstStyle/>
        <a:p>
          <a:endParaRPr lang="en-GB"/>
        </a:p>
      </dgm:t>
    </dgm:pt>
    <dgm:pt modelId="{15628612-0E48-47EF-991E-77E1750865C3}" type="pres">
      <dgm:prSet presAssocID="{96F36DD9-8343-4643-B5E7-0C551840AB91}" presName="rootConnector1" presStyleLbl="node1" presStyleIdx="0" presStyleCnt="0"/>
      <dgm:spPr/>
      <dgm:t>
        <a:bodyPr/>
        <a:lstStyle/>
        <a:p>
          <a:endParaRPr lang="en-GB"/>
        </a:p>
      </dgm:t>
    </dgm:pt>
    <dgm:pt modelId="{FF5A49A0-5FD9-4D09-87A1-034F8D14850E}" type="pres">
      <dgm:prSet presAssocID="{96F36DD9-8343-4643-B5E7-0C551840AB91}" presName="hierChild2" presStyleCnt="0"/>
      <dgm:spPr/>
    </dgm:pt>
    <dgm:pt modelId="{2832B79E-0287-4312-9139-FF82086E2F09}" type="pres">
      <dgm:prSet presAssocID="{CAA2E78E-8046-46C8-A9C8-58F2F192F3BB}" presName="Name37" presStyleLbl="parChTrans1D2" presStyleIdx="0" presStyleCnt="1"/>
      <dgm:spPr/>
      <dgm:t>
        <a:bodyPr/>
        <a:lstStyle/>
        <a:p>
          <a:endParaRPr lang="en-GB"/>
        </a:p>
      </dgm:t>
    </dgm:pt>
    <dgm:pt modelId="{6D465E12-A858-4813-A817-91F379929023}" type="pres">
      <dgm:prSet presAssocID="{4FAB621E-7E58-4922-BA93-A4B74FCE1C54}" presName="hierRoot2" presStyleCnt="0">
        <dgm:presLayoutVars>
          <dgm:hierBranch val="init"/>
        </dgm:presLayoutVars>
      </dgm:prSet>
      <dgm:spPr/>
    </dgm:pt>
    <dgm:pt modelId="{9155DA88-AB6A-4078-94F4-E2EB79BD6F70}" type="pres">
      <dgm:prSet presAssocID="{4FAB621E-7E58-4922-BA93-A4B74FCE1C54}" presName="rootComposite" presStyleCnt="0"/>
      <dgm:spPr/>
    </dgm:pt>
    <dgm:pt modelId="{3B2D189A-A00C-4631-B7E5-4852E11FB2CD}" type="pres">
      <dgm:prSet presAssocID="{4FAB621E-7E58-4922-BA93-A4B74FCE1C54}" presName="rootText" presStyleLbl="node2" presStyleIdx="0" presStyleCnt="1">
        <dgm:presLayoutVars>
          <dgm:chPref val="3"/>
        </dgm:presLayoutVars>
      </dgm:prSet>
      <dgm:spPr/>
      <dgm:t>
        <a:bodyPr/>
        <a:lstStyle/>
        <a:p>
          <a:endParaRPr lang="en-GB"/>
        </a:p>
      </dgm:t>
    </dgm:pt>
    <dgm:pt modelId="{C226A1AA-3E83-4A0E-BFC4-E5B16C9314E7}" type="pres">
      <dgm:prSet presAssocID="{4FAB621E-7E58-4922-BA93-A4B74FCE1C54}" presName="rootConnector" presStyleLbl="node2" presStyleIdx="0" presStyleCnt="1"/>
      <dgm:spPr/>
      <dgm:t>
        <a:bodyPr/>
        <a:lstStyle/>
        <a:p>
          <a:endParaRPr lang="en-GB"/>
        </a:p>
      </dgm:t>
    </dgm:pt>
    <dgm:pt modelId="{D77F8E04-F482-413E-8482-C461293DED27}" type="pres">
      <dgm:prSet presAssocID="{4FAB621E-7E58-4922-BA93-A4B74FCE1C54}" presName="hierChild4" presStyleCnt="0"/>
      <dgm:spPr/>
    </dgm:pt>
    <dgm:pt modelId="{CBFA2F56-766F-438D-87EA-FA8C6AF4B419}" type="pres">
      <dgm:prSet presAssocID="{D34FE21C-4405-4959-AF19-4109609F4EDA}" presName="Name37" presStyleLbl="parChTrans1D3" presStyleIdx="0" presStyleCnt="1"/>
      <dgm:spPr/>
      <dgm:t>
        <a:bodyPr/>
        <a:lstStyle/>
        <a:p>
          <a:endParaRPr lang="en-GB"/>
        </a:p>
      </dgm:t>
    </dgm:pt>
    <dgm:pt modelId="{F68D4278-9907-41F6-8C6A-47EE9C8CCD9E}" type="pres">
      <dgm:prSet presAssocID="{D1CE379E-9AF8-46AA-9274-961305E7F858}" presName="hierRoot2" presStyleCnt="0">
        <dgm:presLayoutVars>
          <dgm:hierBranch val="init"/>
        </dgm:presLayoutVars>
      </dgm:prSet>
      <dgm:spPr/>
    </dgm:pt>
    <dgm:pt modelId="{537F630E-80A1-40C2-990A-88FD0D62841C}" type="pres">
      <dgm:prSet presAssocID="{D1CE379E-9AF8-46AA-9274-961305E7F858}" presName="rootComposite" presStyleCnt="0"/>
      <dgm:spPr/>
    </dgm:pt>
    <dgm:pt modelId="{5C4486AC-A441-4F50-9D56-441681E9C30F}" type="pres">
      <dgm:prSet presAssocID="{D1CE379E-9AF8-46AA-9274-961305E7F858}" presName="rootText" presStyleLbl="node3" presStyleIdx="0" presStyleCnt="1" custLinFactNeighborX="-2221" custLinFactNeighborY="1481">
        <dgm:presLayoutVars>
          <dgm:chPref val="3"/>
        </dgm:presLayoutVars>
      </dgm:prSet>
      <dgm:spPr/>
      <dgm:t>
        <a:bodyPr/>
        <a:lstStyle/>
        <a:p>
          <a:endParaRPr lang="en-GB"/>
        </a:p>
      </dgm:t>
    </dgm:pt>
    <dgm:pt modelId="{3C792CBF-D9A7-4166-A875-62D7655D052A}" type="pres">
      <dgm:prSet presAssocID="{D1CE379E-9AF8-46AA-9274-961305E7F858}" presName="rootConnector" presStyleLbl="node3" presStyleIdx="0" presStyleCnt="1"/>
      <dgm:spPr/>
      <dgm:t>
        <a:bodyPr/>
        <a:lstStyle/>
        <a:p>
          <a:endParaRPr lang="en-GB"/>
        </a:p>
      </dgm:t>
    </dgm:pt>
    <dgm:pt modelId="{90C04AF7-AB37-4057-9F9D-403CA5F69A72}" type="pres">
      <dgm:prSet presAssocID="{D1CE379E-9AF8-46AA-9274-961305E7F858}" presName="hierChild4" presStyleCnt="0"/>
      <dgm:spPr/>
    </dgm:pt>
    <dgm:pt modelId="{ED685202-3415-4EAF-B75D-181EE6F4CA4B}" type="pres">
      <dgm:prSet presAssocID="{D1CE379E-9AF8-46AA-9274-961305E7F858}" presName="hierChild5" presStyleCnt="0"/>
      <dgm:spPr/>
    </dgm:pt>
    <dgm:pt modelId="{CDEC0CCE-4932-4E9C-88F9-190AB04EFE52}" type="pres">
      <dgm:prSet presAssocID="{4FAB621E-7E58-4922-BA93-A4B74FCE1C54}" presName="hierChild5" presStyleCnt="0"/>
      <dgm:spPr/>
    </dgm:pt>
    <dgm:pt modelId="{8DC4B577-55B2-4EF3-A8E3-A5A82DA7E4DD}" type="pres">
      <dgm:prSet presAssocID="{96F36DD9-8343-4643-B5E7-0C551840AB91}" presName="hierChild3" presStyleCnt="0"/>
      <dgm:spPr/>
    </dgm:pt>
  </dgm:ptLst>
  <dgm:cxnLst>
    <dgm:cxn modelId="{692451CF-6B35-4393-9CFC-D36864757558}" type="presOf" srcId="{CAA2E78E-8046-46C8-A9C8-58F2F192F3BB}" destId="{2832B79E-0287-4312-9139-FF82086E2F09}" srcOrd="0" destOrd="0" presId="urn:microsoft.com/office/officeart/2005/8/layout/orgChart1"/>
    <dgm:cxn modelId="{05B4710F-714D-452C-896E-7D2540980F37}" type="presOf" srcId="{D1CE379E-9AF8-46AA-9274-961305E7F858}" destId="{3C792CBF-D9A7-4166-A875-62D7655D052A}" srcOrd="1" destOrd="0" presId="urn:microsoft.com/office/officeart/2005/8/layout/orgChart1"/>
    <dgm:cxn modelId="{B29943BF-874F-4006-BDD4-E02C9EC83EE0}" type="presOf" srcId="{4FAB621E-7E58-4922-BA93-A4B74FCE1C54}" destId="{3B2D189A-A00C-4631-B7E5-4852E11FB2CD}" srcOrd="0" destOrd="0" presId="urn:microsoft.com/office/officeart/2005/8/layout/orgChart1"/>
    <dgm:cxn modelId="{5149053B-1509-41F9-AF5F-B21B3053D516}" type="presOf" srcId="{D34FE21C-4405-4959-AF19-4109609F4EDA}" destId="{CBFA2F56-766F-438D-87EA-FA8C6AF4B419}" srcOrd="0" destOrd="0" presId="urn:microsoft.com/office/officeart/2005/8/layout/orgChart1"/>
    <dgm:cxn modelId="{EC7CB720-08C6-49AA-97ED-F98A1615FC04}" type="presOf" srcId="{96F36DD9-8343-4643-B5E7-0C551840AB91}" destId="{CB2363E8-1D1D-4906-93BB-3B5FDC2EF5DA}" srcOrd="0" destOrd="0" presId="urn:microsoft.com/office/officeart/2005/8/layout/orgChart1"/>
    <dgm:cxn modelId="{4CA53697-F659-4055-9D77-4A5BA43AE3B7}" srcId="{96F36DD9-8343-4643-B5E7-0C551840AB91}" destId="{4FAB621E-7E58-4922-BA93-A4B74FCE1C54}" srcOrd="0" destOrd="0" parTransId="{CAA2E78E-8046-46C8-A9C8-58F2F192F3BB}" sibTransId="{1649F181-239A-413F-8BFF-4DAC8792FE20}"/>
    <dgm:cxn modelId="{EAF4D584-C756-46E6-A170-2060DAB8D532}" type="presOf" srcId="{4FAB621E-7E58-4922-BA93-A4B74FCE1C54}" destId="{C226A1AA-3E83-4A0E-BFC4-E5B16C9314E7}" srcOrd="1" destOrd="0" presId="urn:microsoft.com/office/officeart/2005/8/layout/orgChart1"/>
    <dgm:cxn modelId="{547238E7-E488-4125-849B-2F43931251E6}" type="presOf" srcId="{96F36DD9-8343-4643-B5E7-0C551840AB91}" destId="{15628612-0E48-47EF-991E-77E1750865C3}" srcOrd="1" destOrd="0" presId="urn:microsoft.com/office/officeart/2005/8/layout/orgChart1"/>
    <dgm:cxn modelId="{132C0E6E-5EF5-4BAF-BCA1-2D7126794C17}" srcId="{49AAC876-8C1E-4114-87A4-F541C2E6F964}" destId="{96F36DD9-8343-4643-B5E7-0C551840AB91}" srcOrd="0" destOrd="0" parTransId="{3B3DD238-308B-4EC1-B3FA-8B08EAA4603A}" sibTransId="{25A4284D-E767-436D-996B-D0D08671954E}"/>
    <dgm:cxn modelId="{610582D7-1F4E-404A-A35E-95A1E0CD7A33}" type="presOf" srcId="{49AAC876-8C1E-4114-87A4-F541C2E6F964}" destId="{6A48082C-835F-40B9-83AE-669ED6EDE255}" srcOrd="0" destOrd="0" presId="urn:microsoft.com/office/officeart/2005/8/layout/orgChart1"/>
    <dgm:cxn modelId="{98C8C392-2EF1-4A66-8A1A-5C0ED396C2CF}" type="presOf" srcId="{D1CE379E-9AF8-46AA-9274-961305E7F858}" destId="{5C4486AC-A441-4F50-9D56-441681E9C30F}" srcOrd="0" destOrd="0" presId="urn:microsoft.com/office/officeart/2005/8/layout/orgChart1"/>
    <dgm:cxn modelId="{263BC355-B037-45DB-A7BC-FDBBEB36BC37}" srcId="{4FAB621E-7E58-4922-BA93-A4B74FCE1C54}" destId="{D1CE379E-9AF8-46AA-9274-961305E7F858}" srcOrd="0" destOrd="0" parTransId="{D34FE21C-4405-4959-AF19-4109609F4EDA}" sibTransId="{5306F07D-5A47-468F-BA4D-50F730403285}"/>
    <dgm:cxn modelId="{F6653D48-0223-4CBC-8CDD-FFE60B1C1A63}" type="presParOf" srcId="{6A48082C-835F-40B9-83AE-669ED6EDE255}" destId="{6115EAEC-F11C-4716-812F-D4593FB60E63}" srcOrd="0" destOrd="0" presId="urn:microsoft.com/office/officeart/2005/8/layout/orgChart1"/>
    <dgm:cxn modelId="{48F20372-05F9-40BD-B2F4-C6EC6C298E1F}" type="presParOf" srcId="{6115EAEC-F11C-4716-812F-D4593FB60E63}" destId="{F4EFC911-0EC4-48C0-B3E5-ABD3AAC16413}" srcOrd="0" destOrd="0" presId="urn:microsoft.com/office/officeart/2005/8/layout/orgChart1"/>
    <dgm:cxn modelId="{4C29F399-4CC0-4657-ADAC-3832AA3C76AF}" type="presParOf" srcId="{F4EFC911-0EC4-48C0-B3E5-ABD3AAC16413}" destId="{CB2363E8-1D1D-4906-93BB-3B5FDC2EF5DA}" srcOrd="0" destOrd="0" presId="urn:microsoft.com/office/officeart/2005/8/layout/orgChart1"/>
    <dgm:cxn modelId="{6F3DE0E3-E1AD-40B3-8B19-2265E196E77B}" type="presParOf" srcId="{F4EFC911-0EC4-48C0-B3E5-ABD3AAC16413}" destId="{15628612-0E48-47EF-991E-77E1750865C3}" srcOrd="1" destOrd="0" presId="urn:microsoft.com/office/officeart/2005/8/layout/orgChart1"/>
    <dgm:cxn modelId="{CD27C21D-3947-471E-B79A-A843A13C5932}" type="presParOf" srcId="{6115EAEC-F11C-4716-812F-D4593FB60E63}" destId="{FF5A49A0-5FD9-4D09-87A1-034F8D14850E}" srcOrd="1" destOrd="0" presId="urn:microsoft.com/office/officeart/2005/8/layout/orgChart1"/>
    <dgm:cxn modelId="{EF7A3225-F4E6-49AA-9358-508B7C0EBDF4}" type="presParOf" srcId="{FF5A49A0-5FD9-4D09-87A1-034F8D14850E}" destId="{2832B79E-0287-4312-9139-FF82086E2F09}" srcOrd="0" destOrd="0" presId="urn:microsoft.com/office/officeart/2005/8/layout/orgChart1"/>
    <dgm:cxn modelId="{3A62DF8D-6AB2-4C37-A4A1-D83BB17401D0}" type="presParOf" srcId="{FF5A49A0-5FD9-4D09-87A1-034F8D14850E}" destId="{6D465E12-A858-4813-A817-91F379929023}" srcOrd="1" destOrd="0" presId="urn:microsoft.com/office/officeart/2005/8/layout/orgChart1"/>
    <dgm:cxn modelId="{A370DD25-86DF-4743-87A9-82EAB26EBE14}" type="presParOf" srcId="{6D465E12-A858-4813-A817-91F379929023}" destId="{9155DA88-AB6A-4078-94F4-E2EB79BD6F70}" srcOrd="0" destOrd="0" presId="urn:microsoft.com/office/officeart/2005/8/layout/orgChart1"/>
    <dgm:cxn modelId="{26C76F89-CAEF-4E28-852E-F1C917176921}" type="presParOf" srcId="{9155DA88-AB6A-4078-94F4-E2EB79BD6F70}" destId="{3B2D189A-A00C-4631-B7E5-4852E11FB2CD}" srcOrd="0" destOrd="0" presId="urn:microsoft.com/office/officeart/2005/8/layout/orgChart1"/>
    <dgm:cxn modelId="{469554F7-44EA-41E4-85F7-D072A29CBDBF}" type="presParOf" srcId="{9155DA88-AB6A-4078-94F4-E2EB79BD6F70}" destId="{C226A1AA-3E83-4A0E-BFC4-E5B16C9314E7}" srcOrd="1" destOrd="0" presId="urn:microsoft.com/office/officeart/2005/8/layout/orgChart1"/>
    <dgm:cxn modelId="{530FCDEF-DAB6-43F5-A441-16BCC779ADC8}" type="presParOf" srcId="{6D465E12-A858-4813-A817-91F379929023}" destId="{D77F8E04-F482-413E-8482-C461293DED27}" srcOrd="1" destOrd="0" presId="urn:microsoft.com/office/officeart/2005/8/layout/orgChart1"/>
    <dgm:cxn modelId="{85CFBF2E-0038-4E93-8B31-7DECB2AAD238}" type="presParOf" srcId="{D77F8E04-F482-413E-8482-C461293DED27}" destId="{CBFA2F56-766F-438D-87EA-FA8C6AF4B419}" srcOrd="0" destOrd="0" presId="urn:microsoft.com/office/officeart/2005/8/layout/orgChart1"/>
    <dgm:cxn modelId="{3CA82821-1024-4641-B176-104D33102584}" type="presParOf" srcId="{D77F8E04-F482-413E-8482-C461293DED27}" destId="{F68D4278-9907-41F6-8C6A-47EE9C8CCD9E}" srcOrd="1" destOrd="0" presId="urn:microsoft.com/office/officeart/2005/8/layout/orgChart1"/>
    <dgm:cxn modelId="{F2AFFC2E-786A-4E4B-9CD2-E1107B4658D3}" type="presParOf" srcId="{F68D4278-9907-41F6-8C6A-47EE9C8CCD9E}" destId="{537F630E-80A1-40C2-990A-88FD0D62841C}" srcOrd="0" destOrd="0" presId="urn:microsoft.com/office/officeart/2005/8/layout/orgChart1"/>
    <dgm:cxn modelId="{EA7706B4-34F0-45BA-8F87-1FCD1A3E0F03}" type="presParOf" srcId="{537F630E-80A1-40C2-990A-88FD0D62841C}" destId="{5C4486AC-A441-4F50-9D56-441681E9C30F}" srcOrd="0" destOrd="0" presId="urn:microsoft.com/office/officeart/2005/8/layout/orgChart1"/>
    <dgm:cxn modelId="{D35BC187-7480-457F-BD90-EFD5D979571F}" type="presParOf" srcId="{537F630E-80A1-40C2-990A-88FD0D62841C}" destId="{3C792CBF-D9A7-4166-A875-62D7655D052A}" srcOrd="1" destOrd="0" presId="urn:microsoft.com/office/officeart/2005/8/layout/orgChart1"/>
    <dgm:cxn modelId="{32A1D5B0-2166-4D54-A984-3094C5487853}" type="presParOf" srcId="{F68D4278-9907-41F6-8C6A-47EE9C8CCD9E}" destId="{90C04AF7-AB37-4057-9F9D-403CA5F69A72}" srcOrd="1" destOrd="0" presId="urn:microsoft.com/office/officeart/2005/8/layout/orgChart1"/>
    <dgm:cxn modelId="{6088C424-BA6C-446C-A163-09BCFC4A48D2}" type="presParOf" srcId="{F68D4278-9907-41F6-8C6A-47EE9C8CCD9E}" destId="{ED685202-3415-4EAF-B75D-181EE6F4CA4B}" srcOrd="2" destOrd="0" presId="urn:microsoft.com/office/officeart/2005/8/layout/orgChart1"/>
    <dgm:cxn modelId="{E8750CE3-591B-489C-89D0-E8801461380D}" type="presParOf" srcId="{6D465E12-A858-4813-A817-91F379929023}" destId="{CDEC0CCE-4932-4E9C-88F9-190AB04EFE52}" srcOrd="2" destOrd="0" presId="urn:microsoft.com/office/officeart/2005/8/layout/orgChart1"/>
    <dgm:cxn modelId="{46011D8F-E5EF-4330-A289-0293A62E52EF}" type="presParOf" srcId="{6115EAEC-F11C-4716-812F-D4593FB60E63}" destId="{8DC4B577-55B2-4EF3-A8E3-A5A82DA7E4D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FA2F56-766F-438D-87EA-FA8C6AF4B419}">
      <dsp:nvSpPr>
        <dsp:cNvPr id="0" name=""/>
        <dsp:cNvSpPr/>
      </dsp:nvSpPr>
      <dsp:spPr>
        <a:xfrm>
          <a:off x="1679835" y="1728601"/>
          <a:ext cx="182485" cy="657596"/>
        </a:xfrm>
        <a:custGeom>
          <a:avLst/>
          <a:gdLst/>
          <a:ahLst/>
          <a:cxnLst/>
          <a:rect l="0" t="0" r="0" b="0"/>
          <a:pathLst>
            <a:path>
              <a:moveTo>
                <a:pt x="0" y="0"/>
              </a:moveTo>
              <a:lnTo>
                <a:pt x="0" y="657596"/>
              </a:lnTo>
              <a:lnTo>
                <a:pt x="182485" y="6575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2B79E-0287-4312-9139-FF82086E2F09}">
      <dsp:nvSpPr>
        <dsp:cNvPr id="0" name=""/>
        <dsp:cNvSpPr/>
      </dsp:nvSpPr>
      <dsp:spPr>
        <a:xfrm>
          <a:off x="2205318" y="714716"/>
          <a:ext cx="91440" cy="299881"/>
        </a:xfrm>
        <a:custGeom>
          <a:avLst/>
          <a:gdLst/>
          <a:ahLst/>
          <a:cxnLst/>
          <a:rect l="0" t="0" r="0" b="0"/>
          <a:pathLst>
            <a:path>
              <a:moveTo>
                <a:pt x="45720" y="0"/>
              </a:moveTo>
              <a:lnTo>
                <a:pt x="45720" y="2998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363E8-1D1D-4906-93BB-3B5FDC2EF5DA}">
      <dsp:nvSpPr>
        <dsp:cNvPr id="0" name=""/>
        <dsp:cNvSpPr/>
      </dsp:nvSpPr>
      <dsp:spPr>
        <a:xfrm>
          <a:off x="1537035" y="713"/>
          <a:ext cx="1428006" cy="714003"/>
        </a:xfrm>
        <a:prstGeom prst="rect">
          <a:avLst/>
        </a:prstGeom>
        <a:solidFill>
          <a:srgbClr val="42214A"/>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rgbClr val="EBE5CC"/>
              </a:solidFill>
              <a:latin typeface="Gill Sans MT" panose="020B0502020104020203" pitchFamily="34" charset="0"/>
            </a:rPr>
            <a:t>Director of Property</a:t>
          </a:r>
        </a:p>
      </dsp:txBody>
      <dsp:txXfrm>
        <a:off x="1537035" y="713"/>
        <a:ext cx="1428006" cy="714003"/>
      </dsp:txXfrm>
    </dsp:sp>
    <dsp:sp modelId="{3B2D189A-A00C-4631-B7E5-4852E11FB2CD}">
      <dsp:nvSpPr>
        <dsp:cNvPr id="0" name=""/>
        <dsp:cNvSpPr/>
      </dsp:nvSpPr>
      <dsp:spPr>
        <a:xfrm>
          <a:off x="1537035" y="1014598"/>
          <a:ext cx="1428006" cy="714003"/>
        </a:xfrm>
        <a:prstGeom prst="rect">
          <a:avLst/>
        </a:prstGeom>
        <a:solidFill>
          <a:srgbClr val="42214A"/>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rgbClr val="EBE5CC"/>
              </a:solidFill>
              <a:latin typeface="Gill Sans MT" panose="020B0502020104020203" pitchFamily="34" charset="0"/>
            </a:rPr>
            <a:t>Head</a:t>
          </a:r>
          <a:r>
            <a:rPr lang="en-GB" sz="1400" b="1" kern="1200">
              <a:solidFill>
                <a:srgbClr val="EBE5CC"/>
              </a:solidFill>
              <a:latin typeface="Gill Sans MT" panose="020B0502020104020203" pitchFamily="34" charset="0"/>
            </a:rPr>
            <a:t> </a:t>
          </a:r>
          <a:r>
            <a:rPr lang="en-GB" sz="1200" b="1" kern="1200">
              <a:solidFill>
                <a:srgbClr val="EBE5CC"/>
              </a:solidFill>
              <a:latin typeface="Gill Sans MT" panose="020B0502020104020203" pitchFamily="34" charset="0"/>
            </a:rPr>
            <a:t>of</a:t>
          </a:r>
          <a:r>
            <a:rPr lang="en-GB" sz="1400" b="1" kern="1200">
              <a:solidFill>
                <a:srgbClr val="EBE5CC"/>
              </a:solidFill>
              <a:latin typeface="Gill Sans MT" panose="020B0502020104020203" pitchFamily="34" charset="0"/>
            </a:rPr>
            <a:t> </a:t>
          </a:r>
          <a:r>
            <a:rPr lang="en-GB" sz="1200" b="1" kern="1200">
              <a:solidFill>
                <a:srgbClr val="EBE5CC"/>
              </a:solidFill>
              <a:latin typeface="Gill Sans MT" panose="020B0502020104020203" pitchFamily="34" charset="0"/>
            </a:rPr>
            <a:t>Projects</a:t>
          </a:r>
          <a:endParaRPr lang="en-GB" sz="1400" b="1" kern="1200">
            <a:solidFill>
              <a:srgbClr val="EBE5CC"/>
            </a:solidFill>
            <a:latin typeface="Gill Sans MT" panose="020B0502020104020203" pitchFamily="34" charset="0"/>
          </a:endParaRPr>
        </a:p>
      </dsp:txBody>
      <dsp:txXfrm>
        <a:off x="1537035" y="1014598"/>
        <a:ext cx="1428006" cy="714003"/>
      </dsp:txXfrm>
    </dsp:sp>
    <dsp:sp modelId="{5C4486AC-A441-4F50-9D56-441681E9C30F}">
      <dsp:nvSpPr>
        <dsp:cNvPr id="0" name=""/>
        <dsp:cNvSpPr/>
      </dsp:nvSpPr>
      <dsp:spPr>
        <a:xfrm>
          <a:off x="1862320" y="2029196"/>
          <a:ext cx="1428006" cy="714003"/>
        </a:xfrm>
        <a:prstGeom prst="rect">
          <a:avLst/>
        </a:prstGeom>
        <a:solidFill>
          <a:srgbClr val="42214A"/>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rgbClr val="EBE5CC"/>
              </a:solidFill>
              <a:latin typeface="Gill Sans MT" panose="020B0502020104020203" pitchFamily="34" charset="0"/>
            </a:rPr>
            <a:t>Project Sponsor</a:t>
          </a:r>
        </a:p>
      </dsp:txBody>
      <dsp:txXfrm>
        <a:off x="1862320" y="2029196"/>
        <a:ext cx="1428006" cy="7140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urple brand colours">
      <a:dk1>
        <a:srgbClr val="4E585D"/>
      </a:dk1>
      <a:lt1>
        <a:sysClr val="window" lastClr="FFFFFF"/>
      </a:lt1>
      <a:dk2>
        <a:srgbClr val="42214A"/>
      </a:dk2>
      <a:lt2>
        <a:srgbClr val="EBE5CC"/>
      </a:lt2>
      <a:accent1>
        <a:srgbClr val="42214A"/>
      </a:accent1>
      <a:accent2>
        <a:srgbClr val="42214A"/>
      </a:accent2>
      <a:accent3>
        <a:srgbClr val="42214A"/>
      </a:accent3>
      <a:accent4>
        <a:srgbClr val="42214A"/>
      </a:accent4>
      <a:accent5>
        <a:srgbClr val="42214A"/>
      </a:accent5>
      <a:accent6>
        <a:srgbClr val="42214A"/>
      </a:accent6>
      <a:hlink>
        <a:srgbClr val="1F6D78"/>
      </a:hlink>
      <a:folHlink>
        <a:srgbClr val="692851"/>
      </a:folHlink>
    </a:clrScheme>
    <a:fontScheme name="branded">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FF26-6C63-4F17-97C2-0CCD51CD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Jodie Murphy</cp:lastModifiedBy>
  <cp:revision>2</cp:revision>
  <cp:lastPrinted>2016-05-24T09:55:00Z</cp:lastPrinted>
  <dcterms:created xsi:type="dcterms:W3CDTF">2016-08-26T14:46:00Z</dcterms:created>
  <dcterms:modified xsi:type="dcterms:W3CDTF">2016-08-26T14:46:00Z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7f2e4333-7210-4e2e-982a-742c5f3ed6d3</vt:lpwstr>
  </property>
  <property fmtid="{D5CDD505-2E9C-101B-9397-08002B2CF9AE}" pid="3" name="TheRoyalHouseholdRoyal Household">
    <vt:lpwstr>UNCLASSIFIED</vt:lpwstr>
  </property>
  <property fmtid="{D5CDD505-2E9C-101B-9397-08002B2CF9AE}" pid="4" name="TheRoyalHouseholdRH">
    <vt:lpwstr>Household</vt:lpwstr>
  </property>
  <property fmtid="{D5CDD505-2E9C-101B-9397-08002B2CF9AE}" pid="5" name="TheRoyalHouseholdSensitivity">
    <vt:lpwstr>Unclassified</vt:lpwstr>
  </property>
</Properties>
</file>